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交银施罗德裕祥纯债债券型证券投资基金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江苏银行股份有限公司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基金托管人江苏银行股份有限公司根据本基金合同规定，于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交银裕祥纯债债券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006367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3,536,743,731.45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江苏银行股份有限公司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006367</w:t>
            </w:r>
          </w:p>
        </w:tc>
        <w:tc>
          <w:tcPr>
            <w:tcW w:w="3048" w:type="dxa"/>
            <w:vAlign w:val="center"/>
          </w:tcPr>
          <w:p w:rsidR="00C23B30" w:rsidRPr="000E4C40" w:rsidRDefault="00C23B30" w:rsidP="00A52A9E">
            <w:pPr>
              <w:spacing w:before="29" w:line="288" w:lineRule="auto"/>
              <w:jc w:val="left"/>
              <w:rPr>
                <w:sz w:val="24"/>
              </w:rPr>
            </w:pPr>
            <w:r w:rsidRPr="000E4C40">
              <w:rPr>
                <w:sz w:val="24"/>
              </w:rPr>
              <w:t>006368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3,536,743,731.45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交银裕祥纯债债券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交银裕祥纯债债券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29,377,102.79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34,711,383.33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3,628,793,520.17</w:t>
            </w:r>
          </w:p>
        </w:tc>
        <w:tc>
          <w:tcPr>
            <w:tcW w:w="2481" w:type="dxa"/>
            <w:vAlign w:val="center"/>
          </w:tcPr>
          <w:p w:rsidR="005F293E" w:rsidRPr="007F52FA" w:rsidRDefault="00154457"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3959E2" w:rsidRDefault="001544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3959E2" w:rsidRDefault="001544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交银裕祥纯债债券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955F62">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55F62">
        <w:trPr>
          <w:jc w:val="center"/>
        </w:trPr>
        <w:tc>
          <w:tcPr>
            <w:tcW w:w="1266" w:type="dxa"/>
            <w:vAlign w:val="center"/>
          </w:tcPr>
          <w:p w:rsidR="00955F62" w:rsidRDefault="00955F62" w:rsidP="00955F62">
            <w:pPr>
              <w:jc w:val="left"/>
            </w:pPr>
            <w:r>
              <w:rPr>
                <w:color w:val="000000"/>
                <w:sz w:val="24"/>
              </w:rPr>
              <w:t>过去三个月</w:t>
            </w:r>
          </w:p>
        </w:tc>
        <w:tc>
          <w:tcPr>
            <w:tcW w:w="1267" w:type="dxa"/>
            <w:vAlign w:val="center"/>
          </w:tcPr>
          <w:p w:rsidR="00955F62" w:rsidRDefault="00955F62" w:rsidP="00955F62">
            <w:pPr>
              <w:jc w:val="center"/>
            </w:pPr>
            <w:r>
              <w:rPr>
                <w:color w:val="000000"/>
                <w:sz w:val="24"/>
              </w:rPr>
              <w:t>1.08%</w:t>
            </w:r>
          </w:p>
        </w:tc>
        <w:tc>
          <w:tcPr>
            <w:tcW w:w="1267" w:type="dxa"/>
            <w:vAlign w:val="center"/>
          </w:tcPr>
          <w:p w:rsidR="00955F62" w:rsidRDefault="00955F62" w:rsidP="00955F62">
            <w:pPr>
              <w:jc w:val="center"/>
            </w:pPr>
            <w:r>
              <w:rPr>
                <w:color w:val="000000"/>
                <w:sz w:val="24"/>
              </w:rPr>
              <w:t>0.04%</w:t>
            </w:r>
          </w:p>
        </w:tc>
        <w:tc>
          <w:tcPr>
            <w:tcW w:w="1267" w:type="dxa"/>
            <w:vAlign w:val="center"/>
          </w:tcPr>
          <w:p w:rsidR="00955F62" w:rsidRPr="00955F62" w:rsidRDefault="00955F62" w:rsidP="00955F62">
            <w:pPr>
              <w:jc w:val="center"/>
              <w:rPr>
                <w:color w:val="000000"/>
                <w:sz w:val="24"/>
              </w:rPr>
            </w:pPr>
            <w:r w:rsidRPr="00955F62">
              <w:rPr>
                <w:rFonts w:hint="eastAsia"/>
                <w:color w:val="000000"/>
                <w:sz w:val="24"/>
              </w:rPr>
              <w:t>0.62%</w:t>
            </w:r>
          </w:p>
        </w:tc>
        <w:tc>
          <w:tcPr>
            <w:tcW w:w="1267" w:type="dxa"/>
            <w:vAlign w:val="center"/>
          </w:tcPr>
          <w:p w:rsidR="00955F62" w:rsidRPr="00955F62" w:rsidRDefault="00955F62" w:rsidP="00955F62">
            <w:pPr>
              <w:jc w:val="center"/>
              <w:rPr>
                <w:rFonts w:hint="eastAsia"/>
                <w:color w:val="000000"/>
                <w:sz w:val="24"/>
              </w:rPr>
            </w:pPr>
            <w:r w:rsidRPr="00955F62">
              <w:rPr>
                <w:rFonts w:hint="eastAsia"/>
                <w:color w:val="000000"/>
                <w:sz w:val="24"/>
              </w:rPr>
              <w:t>0.04%</w:t>
            </w:r>
          </w:p>
        </w:tc>
        <w:tc>
          <w:tcPr>
            <w:tcW w:w="1267" w:type="dxa"/>
            <w:vAlign w:val="center"/>
          </w:tcPr>
          <w:p w:rsidR="00955F62" w:rsidRPr="00955F62" w:rsidRDefault="00955F62" w:rsidP="00955F62">
            <w:pPr>
              <w:jc w:val="center"/>
              <w:rPr>
                <w:rFonts w:hint="eastAsia"/>
                <w:color w:val="000000"/>
                <w:sz w:val="24"/>
              </w:rPr>
            </w:pPr>
            <w:r w:rsidRPr="00955F62">
              <w:rPr>
                <w:rFonts w:hint="eastAsia"/>
                <w:color w:val="000000"/>
                <w:sz w:val="24"/>
              </w:rPr>
              <w:t>0.46%</w:t>
            </w:r>
          </w:p>
        </w:tc>
        <w:tc>
          <w:tcPr>
            <w:tcW w:w="1267" w:type="dxa"/>
            <w:vAlign w:val="center"/>
          </w:tcPr>
          <w:p w:rsidR="00955F62" w:rsidRPr="00955F62" w:rsidRDefault="00955F62" w:rsidP="00955F62">
            <w:pPr>
              <w:jc w:val="center"/>
              <w:rPr>
                <w:rFonts w:hint="eastAsia"/>
                <w:color w:val="000000"/>
                <w:sz w:val="24"/>
              </w:rPr>
            </w:pPr>
            <w:r w:rsidRPr="00955F62">
              <w:rPr>
                <w:rFonts w:hint="eastAsia"/>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bookmarkStart w:id="0" w:name="_GoBack"/>
      <w:bookmarkEnd w:id="0"/>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交银裕祥纯债债券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154457">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54457">
        <w:trPr>
          <w:jc w:val="center"/>
        </w:trPr>
        <w:tc>
          <w:tcPr>
            <w:tcW w:w="1266" w:type="dxa"/>
            <w:vAlign w:val="center"/>
          </w:tcPr>
          <w:p w:rsidR="00154457" w:rsidRDefault="00154457" w:rsidP="00154457">
            <w:pPr>
              <w:jc w:val="left"/>
            </w:pPr>
            <w:r>
              <w:rPr>
                <w:color w:val="000000"/>
                <w:sz w:val="24"/>
              </w:rPr>
              <w:t>过去三个月</w:t>
            </w:r>
          </w:p>
        </w:tc>
        <w:tc>
          <w:tcPr>
            <w:tcW w:w="1267" w:type="dxa"/>
            <w:vAlign w:val="center"/>
          </w:tcPr>
          <w:p w:rsidR="00154457" w:rsidRDefault="00154457" w:rsidP="00154457">
            <w:pPr>
              <w:jc w:val="center"/>
            </w:pPr>
            <w:r>
              <w:rPr>
                <w:color w:val="000000"/>
                <w:sz w:val="24"/>
              </w:rPr>
              <w:t>-</w:t>
            </w:r>
          </w:p>
        </w:tc>
        <w:tc>
          <w:tcPr>
            <w:tcW w:w="1267" w:type="dxa"/>
            <w:vAlign w:val="center"/>
          </w:tcPr>
          <w:p w:rsidR="00154457" w:rsidRDefault="00154457" w:rsidP="00154457">
            <w:pPr>
              <w:jc w:val="center"/>
            </w:pPr>
            <w:r>
              <w:rPr>
                <w:color w:val="000000"/>
                <w:sz w:val="24"/>
              </w:rPr>
              <w:t>-</w:t>
            </w:r>
          </w:p>
        </w:tc>
        <w:tc>
          <w:tcPr>
            <w:tcW w:w="1267" w:type="dxa"/>
            <w:vAlign w:val="center"/>
          </w:tcPr>
          <w:p w:rsidR="00154457" w:rsidRDefault="00154457" w:rsidP="00154457">
            <w:pPr>
              <w:jc w:val="center"/>
            </w:pPr>
            <w:r>
              <w:rPr>
                <w:color w:val="000000"/>
                <w:sz w:val="24"/>
              </w:rPr>
              <w:t>-</w:t>
            </w:r>
          </w:p>
        </w:tc>
        <w:tc>
          <w:tcPr>
            <w:tcW w:w="1267" w:type="dxa"/>
            <w:vAlign w:val="center"/>
          </w:tcPr>
          <w:p w:rsidR="00154457" w:rsidRDefault="00154457" w:rsidP="00154457">
            <w:pPr>
              <w:jc w:val="center"/>
            </w:pPr>
            <w:r>
              <w:rPr>
                <w:color w:val="000000"/>
                <w:sz w:val="24"/>
              </w:rPr>
              <w:t>-</w:t>
            </w:r>
          </w:p>
        </w:tc>
        <w:tc>
          <w:tcPr>
            <w:tcW w:w="1267" w:type="dxa"/>
            <w:vAlign w:val="center"/>
          </w:tcPr>
          <w:p w:rsidR="00154457" w:rsidRDefault="00154457" w:rsidP="00154457">
            <w:pPr>
              <w:jc w:val="center"/>
            </w:pPr>
            <w:r>
              <w:rPr>
                <w:color w:val="000000"/>
                <w:sz w:val="24"/>
              </w:rPr>
              <w:t>-</w:t>
            </w:r>
          </w:p>
        </w:tc>
        <w:tc>
          <w:tcPr>
            <w:tcW w:w="1267" w:type="dxa"/>
            <w:vAlign w:val="center"/>
          </w:tcPr>
          <w:p w:rsidR="00154457" w:rsidRDefault="00154457" w:rsidP="00154457">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交银施罗德裕祥纯债债券型证券投资基金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交银裕祥纯债债券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日，截至报告期期末，本基金已完成</w:t>
      </w:r>
      <w:r w:rsidRPr="007F52FA">
        <w:rPr>
          <w:color w:val="000000"/>
          <w:sz w:val="24"/>
        </w:rPr>
        <w:lastRenderedPageBreak/>
        <w:t>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交银裕祥纯债债券</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959E2">
        <w:trPr>
          <w:jc w:val="center"/>
        </w:trPr>
        <w:tc>
          <w:tcPr>
            <w:tcW w:w="946" w:type="dxa"/>
            <w:vAlign w:val="center"/>
          </w:tcPr>
          <w:p w:rsidR="003959E2" w:rsidRDefault="00154457">
            <w:pPr>
              <w:jc w:val="center"/>
            </w:pPr>
            <w:r>
              <w:rPr>
                <w:color w:val="000000"/>
                <w:sz w:val="24"/>
              </w:rPr>
              <w:t>李娜</w:t>
            </w:r>
          </w:p>
        </w:tc>
        <w:tc>
          <w:tcPr>
            <w:tcW w:w="924" w:type="dxa"/>
            <w:vAlign w:val="center"/>
          </w:tcPr>
          <w:p w:rsidR="003959E2" w:rsidRDefault="00154457">
            <w:pPr>
              <w:jc w:val="center"/>
            </w:pPr>
            <w:r>
              <w:rPr>
                <w:color w:val="000000"/>
                <w:sz w:val="24"/>
              </w:rPr>
              <w:t>交银周期回报灵活配置混合、交银新回报灵活配置混合、交银多策略回报灵活配置混合、交银优选回报灵活</w:t>
            </w:r>
            <w:r>
              <w:rPr>
                <w:color w:val="000000"/>
                <w:sz w:val="24"/>
              </w:rPr>
              <w:lastRenderedPageBreak/>
              <w:t>配置混合、交银优择回报灵活配置混合、交银瑞鑫定期开放灵活配置混合、交银裕祥纯债债券、交银恒益灵活配置混合的基金经理</w:t>
            </w:r>
          </w:p>
        </w:tc>
        <w:tc>
          <w:tcPr>
            <w:tcW w:w="1202" w:type="dxa"/>
            <w:vAlign w:val="center"/>
          </w:tcPr>
          <w:p w:rsidR="003959E2" w:rsidRDefault="00154457">
            <w:pPr>
              <w:jc w:val="center"/>
            </w:pPr>
            <w:r>
              <w:rPr>
                <w:color w:val="000000"/>
                <w:sz w:val="24"/>
              </w:rPr>
              <w:lastRenderedPageBreak/>
              <w:t>2018-09-26</w:t>
            </w:r>
          </w:p>
        </w:tc>
        <w:tc>
          <w:tcPr>
            <w:tcW w:w="1300" w:type="dxa"/>
            <w:vAlign w:val="center"/>
          </w:tcPr>
          <w:p w:rsidR="003959E2" w:rsidRDefault="00154457">
            <w:pPr>
              <w:jc w:val="center"/>
            </w:pPr>
            <w:r>
              <w:rPr>
                <w:color w:val="000000"/>
                <w:sz w:val="24"/>
              </w:rPr>
              <w:t>-</w:t>
            </w:r>
          </w:p>
        </w:tc>
        <w:tc>
          <w:tcPr>
            <w:tcW w:w="1245" w:type="dxa"/>
            <w:vAlign w:val="center"/>
          </w:tcPr>
          <w:p w:rsidR="003959E2" w:rsidRDefault="00154457">
            <w:pPr>
              <w:jc w:val="center"/>
            </w:pPr>
            <w:r>
              <w:rPr>
                <w:color w:val="000000"/>
                <w:sz w:val="24"/>
              </w:rPr>
              <w:t>9</w:t>
            </w:r>
            <w:r>
              <w:rPr>
                <w:color w:val="000000"/>
                <w:sz w:val="24"/>
              </w:rPr>
              <w:t>年</w:t>
            </w:r>
          </w:p>
        </w:tc>
        <w:tc>
          <w:tcPr>
            <w:tcW w:w="3251" w:type="dxa"/>
            <w:vAlign w:val="center"/>
          </w:tcPr>
          <w:p w:rsidR="003959E2" w:rsidRDefault="0015445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lastRenderedPageBreak/>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3959E2">
        <w:trPr>
          <w:jc w:val="center"/>
        </w:trPr>
        <w:tc>
          <w:tcPr>
            <w:tcW w:w="946" w:type="dxa"/>
            <w:vAlign w:val="center"/>
          </w:tcPr>
          <w:p w:rsidR="003959E2" w:rsidRDefault="00154457">
            <w:pPr>
              <w:jc w:val="center"/>
            </w:pPr>
            <w:r>
              <w:rPr>
                <w:color w:val="000000"/>
                <w:sz w:val="24"/>
              </w:rPr>
              <w:lastRenderedPageBreak/>
              <w:t>凌超</w:t>
            </w:r>
          </w:p>
        </w:tc>
        <w:tc>
          <w:tcPr>
            <w:tcW w:w="924" w:type="dxa"/>
            <w:vAlign w:val="center"/>
          </w:tcPr>
          <w:p w:rsidR="003959E2" w:rsidRDefault="00154457">
            <w:pPr>
              <w:jc w:val="center"/>
            </w:pPr>
            <w:r>
              <w:rPr>
                <w:color w:val="000000"/>
                <w:sz w:val="24"/>
              </w:rPr>
              <w:t>交银定期支付月月丰债券、交银增强收益债券、交银强化回报债券、交银周期回</w:t>
            </w:r>
            <w:r>
              <w:rPr>
                <w:color w:val="000000"/>
                <w:sz w:val="24"/>
              </w:rPr>
              <w:lastRenderedPageBreak/>
              <w:t>报灵活配置混合、交银新回报灵活配置混合、交银多策略回报灵活配置混合、交银优选回报灵活配置混合、交银优择回报灵活配置混合、交银瑞鑫定期开放灵活配置混合、交银增利增强债券、交银恒益灵活配置混合、交</w:t>
            </w:r>
            <w:r>
              <w:rPr>
                <w:color w:val="000000"/>
                <w:sz w:val="24"/>
              </w:rPr>
              <w:lastRenderedPageBreak/>
              <w:t>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3959E2" w:rsidRDefault="00154457">
            <w:pPr>
              <w:jc w:val="center"/>
            </w:pPr>
            <w:r>
              <w:rPr>
                <w:color w:val="000000"/>
                <w:sz w:val="24"/>
              </w:rPr>
              <w:lastRenderedPageBreak/>
              <w:t>2019-07-20</w:t>
            </w:r>
          </w:p>
        </w:tc>
        <w:tc>
          <w:tcPr>
            <w:tcW w:w="1300" w:type="dxa"/>
            <w:vAlign w:val="center"/>
          </w:tcPr>
          <w:p w:rsidR="003959E2" w:rsidRDefault="00154457">
            <w:pPr>
              <w:jc w:val="center"/>
            </w:pPr>
            <w:r>
              <w:rPr>
                <w:color w:val="000000"/>
                <w:sz w:val="24"/>
              </w:rPr>
              <w:t>-</w:t>
            </w:r>
          </w:p>
        </w:tc>
        <w:tc>
          <w:tcPr>
            <w:tcW w:w="1245" w:type="dxa"/>
            <w:vAlign w:val="center"/>
          </w:tcPr>
          <w:p w:rsidR="003959E2" w:rsidRDefault="00154457">
            <w:pPr>
              <w:jc w:val="center"/>
            </w:pPr>
            <w:r>
              <w:rPr>
                <w:color w:val="000000"/>
                <w:sz w:val="24"/>
              </w:rPr>
              <w:t>13</w:t>
            </w:r>
            <w:r>
              <w:rPr>
                <w:color w:val="000000"/>
                <w:sz w:val="24"/>
              </w:rPr>
              <w:t>年</w:t>
            </w:r>
          </w:p>
        </w:tc>
        <w:tc>
          <w:tcPr>
            <w:tcW w:w="3251" w:type="dxa"/>
            <w:vAlign w:val="center"/>
          </w:tcPr>
          <w:p w:rsidR="003959E2" w:rsidRDefault="00154457">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lastRenderedPageBreak/>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959E2" w:rsidRDefault="0015445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959E2" w:rsidRDefault="0015445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959E2" w:rsidRDefault="0015445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959E2" w:rsidRDefault="00154457">
      <w:pPr>
        <w:spacing w:before="29" w:line="288" w:lineRule="auto"/>
        <w:ind w:firstLineChars="200" w:firstLine="480"/>
        <w:rPr>
          <w:color w:val="000000"/>
          <w:sz w:val="24"/>
        </w:rPr>
      </w:pPr>
      <w:r>
        <w:rPr>
          <w:color w:val="000000"/>
          <w:sz w:val="24"/>
        </w:rPr>
        <w:t>本报告期内，债券市场受通胀预期、资金面等因素影响，收益率呈现倒</w:t>
      </w:r>
      <w:r>
        <w:rPr>
          <w:color w:val="000000"/>
          <w:sz w:val="24"/>
        </w:rPr>
        <w:t>V</w:t>
      </w:r>
      <w:r>
        <w:rPr>
          <w:color w:val="000000"/>
          <w:sz w:val="24"/>
        </w:rPr>
        <w:t>走势。十月，因通胀上行压力及社融数据较强，市场恐慌资金面收紧，债市持续回调。十一月伊始，央行持续降低政策利率，市场资金面较为宽松，债市收益率不断下行。进入十二月，资金面宽松持续，但受海外市场风险因素阶段缓解以及国内逆周期调控政策上行预期影响，长端债券收益率震荡走平，中短久期债券收益率持续下行。</w:t>
      </w:r>
    </w:p>
    <w:p w:rsidR="003959E2" w:rsidRDefault="00154457">
      <w:pPr>
        <w:spacing w:before="29" w:line="288" w:lineRule="auto"/>
        <w:ind w:firstLineChars="200" w:firstLine="480"/>
        <w:rPr>
          <w:color w:val="000000"/>
          <w:sz w:val="24"/>
        </w:rPr>
      </w:pPr>
      <w:r>
        <w:rPr>
          <w:color w:val="000000"/>
          <w:sz w:val="24"/>
        </w:rPr>
        <w:t>总体上，四季度债市维持震荡走势，先下后上。在基金操作中，我们保持了组合杠杆，并维持中短组合久期，适时增加了中长久期利率债的仓位，获得了一定的债市回暖收益回报。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一季度，尽管经济内生企稳动力不强的情况难以扭转，中期经济承压的格局未变，但短期在宏观逆周期调控政策发力，资金面维持中性偏宽的格局下，经济增长阶段可能改善。考虑到四季度债券收益率受资金面影响下行较多，因此我们对明年一季度债券市场维持震荡观望的观点，我们将兼顾组合流动性和久期风险，看好中短久期利率债的持有价值，同时积极关注稍长久期利率的交易性机会，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4,099,826,000.00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4,099,826,000.00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1,606,679.93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605,945,598.81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12.87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4,707,378,278.74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w:t>
            </w:r>
            <w:r w:rsidRPr="007F52FA">
              <w:rPr>
                <w:color w:val="000000"/>
                <w:sz w:val="24"/>
              </w:rPr>
              <w:lastRenderedPageBreak/>
              <w:t>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4,099,826,000.00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4,099,826,000.00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4,099,826,000.00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112.98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959E2">
        <w:trPr>
          <w:jc w:val="center"/>
        </w:trPr>
        <w:tc>
          <w:tcPr>
            <w:tcW w:w="1075" w:type="dxa"/>
            <w:vAlign w:val="center"/>
          </w:tcPr>
          <w:p w:rsidR="003959E2" w:rsidRDefault="00154457">
            <w:pPr>
              <w:jc w:val="center"/>
            </w:pPr>
            <w:r>
              <w:rPr>
                <w:color w:val="000000"/>
                <w:sz w:val="24"/>
              </w:rPr>
              <w:t>1</w:t>
            </w:r>
          </w:p>
        </w:tc>
        <w:tc>
          <w:tcPr>
            <w:tcW w:w="1533" w:type="dxa"/>
            <w:vAlign w:val="center"/>
          </w:tcPr>
          <w:p w:rsidR="003959E2" w:rsidRDefault="00154457">
            <w:pPr>
              <w:jc w:val="center"/>
            </w:pPr>
            <w:r>
              <w:rPr>
                <w:color w:val="000000"/>
                <w:sz w:val="24"/>
              </w:rPr>
              <w:t>180208</w:t>
            </w:r>
          </w:p>
        </w:tc>
        <w:tc>
          <w:tcPr>
            <w:tcW w:w="1533" w:type="dxa"/>
            <w:vAlign w:val="center"/>
          </w:tcPr>
          <w:p w:rsidR="003959E2" w:rsidRDefault="00154457">
            <w:pPr>
              <w:jc w:val="center"/>
            </w:pPr>
            <w:r>
              <w:rPr>
                <w:color w:val="000000"/>
                <w:sz w:val="24"/>
              </w:rPr>
              <w:t>18</w:t>
            </w:r>
            <w:r>
              <w:rPr>
                <w:color w:val="000000"/>
                <w:sz w:val="24"/>
              </w:rPr>
              <w:t>国开</w:t>
            </w:r>
            <w:r>
              <w:rPr>
                <w:color w:val="000000"/>
                <w:sz w:val="24"/>
              </w:rPr>
              <w:t>08</w:t>
            </w:r>
          </w:p>
        </w:tc>
        <w:tc>
          <w:tcPr>
            <w:tcW w:w="1394" w:type="dxa"/>
            <w:vAlign w:val="center"/>
          </w:tcPr>
          <w:p w:rsidR="003959E2" w:rsidRDefault="00154457">
            <w:pPr>
              <w:jc w:val="right"/>
            </w:pPr>
            <w:r>
              <w:rPr>
                <w:color w:val="000000"/>
                <w:sz w:val="24"/>
              </w:rPr>
              <w:t>12,500,000</w:t>
            </w:r>
          </w:p>
        </w:tc>
        <w:tc>
          <w:tcPr>
            <w:tcW w:w="1944" w:type="dxa"/>
            <w:vAlign w:val="center"/>
          </w:tcPr>
          <w:p w:rsidR="003959E2" w:rsidRDefault="00154457">
            <w:pPr>
              <w:jc w:val="right"/>
            </w:pPr>
            <w:r>
              <w:rPr>
                <w:color w:val="000000"/>
                <w:sz w:val="24"/>
              </w:rPr>
              <w:t>1,272,500,000.00</w:t>
            </w:r>
          </w:p>
        </w:tc>
        <w:tc>
          <w:tcPr>
            <w:tcW w:w="1389" w:type="dxa"/>
            <w:vAlign w:val="center"/>
          </w:tcPr>
          <w:p w:rsidR="003959E2" w:rsidRDefault="00154457">
            <w:pPr>
              <w:jc w:val="right"/>
            </w:pPr>
            <w:r>
              <w:rPr>
                <w:color w:val="000000"/>
                <w:sz w:val="24"/>
              </w:rPr>
              <w:t>35.07</w:t>
            </w:r>
          </w:p>
        </w:tc>
      </w:tr>
      <w:tr w:rsidR="003959E2">
        <w:trPr>
          <w:jc w:val="center"/>
        </w:trPr>
        <w:tc>
          <w:tcPr>
            <w:tcW w:w="1075" w:type="dxa"/>
            <w:vAlign w:val="center"/>
          </w:tcPr>
          <w:p w:rsidR="003959E2" w:rsidRDefault="00154457">
            <w:pPr>
              <w:jc w:val="center"/>
            </w:pPr>
            <w:r>
              <w:rPr>
                <w:color w:val="000000"/>
                <w:sz w:val="24"/>
              </w:rPr>
              <w:t>2</w:t>
            </w:r>
          </w:p>
        </w:tc>
        <w:tc>
          <w:tcPr>
            <w:tcW w:w="1533" w:type="dxa"/>
            <w:vAlign w:val="center"/>
          </w:tcPr>
          <w:p w:rsidR="003959E2" w:rsidRDefault="00154457">
            <w:pPr>
              <w:jc w:val="center"/>
            </w:pPr>
            <w:r>
              <w:rPr>
                <w:color w:val="000000"/>
                <w:sz w:val="24"/>
              </w:rPr>
              <w:t>180203</w:t>
            </w:r>
          </w:p>
        </w:tc>
        <w:tc>
          <w:tcPr>
            <w:tcW w:w="1533" w:type="dxa"/>
            <w:vAlign w:val="center"/>
          </w:tcPr>
          <w:p w:rsidR="003959E2" w:rsidRDefault="00154457">
            <w:pPr>
              <w:jc w:val="center"/>
            </w:pPr>
            <w:r>
              <w:rPr>
                <w:color w:val="000000"/>
                <w:sz w:val="24"/>
              </w:rPr>
              <w:t>18</w:t>
            </w:r>
            <w:r>
              <w:rPr>
                <w:color w:val="000000"/>
                <w:sz w:val="24"/>
              </w:rPr>
              <w:t>国开</w:t>
            </w:r>
            <w:r>
              <w:rPr>
                <w:color w:val="000000"/>
                <w:sz w:val="24"/>
              </w:rPr>
              <w:t>03</w:t>
            </w:r>
          </w:p>
        </w:tc>
        <w:tc>
          <w:tcPr>
            <w:tcW w:w="1394" w:type="dxa"/>
            <w:vAlign w:val="center"/>
          </w:tcPr>
          <w:p w:rsidR="003959E2" w:rsidRDefault="00154457">
            <w:pPr>
              <w:jc w:val="right"/>
            </w:pPr>
            <w:r>
              <w:rPr>
                <w:color w:val="000000"/>
                <w:sz w:val="24"/>
              </w:rPr>
              <w:t>6,800,000</w:t>
            </w:r>
          </w:p>
        </w:tc>
        <w:tc>
          <w:tcPr>
            <w:tcW w:w="1944" w:type="dxa"/>
            <w:vAlign w:val="center"/>
          </w:tcPr>
          <w:p w:rsidR="003959E2" w:rsidRDefault="00154457">
            <w:pPr>
              <w:jc w:val="right"/>
            </w:pPr>
            <w:r>
              <w:rPr>
                <w:color w:val="000000"/>
                <w:sz w:val="24"/>
              </w:rPr>
              <w:t>695,572,000.00</w:t>
            </w:r>
          </w:p>
        </w:tc>
        <w:tc>
          <w:tcPr>
            <w:tcW w:w="1389" w:type="dxa"/>
            <w:vAlign w:val="center"/>
          </w:tcPr>
          <w:p w:rsidR="003959E2" w:rsidRDefault="00154457">
            <w:pPr>
              <w:jc w:val="right"/>
            </w:pPr>
            <w:r>
              <w:rPr>
                <w:color w:val="000000"/>
                <w:sz w:val="24"/>
              </w:rPr>
              <w:t>19.17</w:t>
            </w:r>
          </w:p>
        </w:tc>
      </w:tr>
      <w:tr w:rsidR="003959E2">
        <w:trPr>
          <w:jc w:val="center"/>
        </w:trPr>
        <w:tc>
          <w:tcPr>
            <w:tcW w:w="1075" w:type="dxa"/>
            <w:vAlign w:val="center"/>
          </w:tcPr>
          <w:p w:rsidR="003959E2" w:rsidRDefault="00154457">
            <w:pPr>
              <w:jc w:val="center"/>
            </w:pPr>
            <w:r>
              <w:rPr>
                <w:color w:val="000000"/>
                <w:sz w:val="24"/>
              </w:rPr>
              <w:t>3</w:t>
            </w:r>
          </w:p>
        </w:tc>
        <w:tc>
          <w:tcPr>
            <w:tcW w:w="1533" w:type="dxa"/>
            <w:vAlign w:val="center"/>
          </w:tcPr>
          <w:p w:rsidR="003959E2" w:rsidRDefault="00154457">
            <w:pPr>
              <w:jc w:val="center"/>
            </w:pPr>
            <w:r>
              <w:rPr>
                <w:color w:val="000000"/>
                <w:sz w:val="24"/>
              </w:rPr>
              <w:t>180211</w:t>
            </w:r>
          </w:p>
        </w:tc>
        <w:tc>
          <w:tcPr>
            <w:tcW w:w="1533" w:type="dxa"/>
            <w:vAlign w:val="center"/>
          </w:tcPr>
          <w:p w:rsidR="003959E2" w:rsidRDefault="00154457">
            <w:pPr>
              <w:jc w:val="center"/>
            </w:pPr>
            <w:r>
              <w:rPr>
                <w:color w:val="000000"/>
                <w:sz w:val="24"/>
              </w:rPr>
              <w:t>18</w:t>
            </w:r>
            <w:r>
              <w:rPr>
                <w:color w:val="000000"/>
                <w:sz w:val="24"/>
              </w:rPr>
              <w:t>国开</w:t>
            </w:r>
            <w:r>
              <w:rPr>
                <w:color w:val="000000"/>
                <w:sz w:val="24"/>
              </w:rPr>
              <w:t>11</w:t>
            </w:r>
          </w:p>
        </w:tc>
        <w:tc>
          <w:tcPr>
            <w:tcW w:w="1394" w:type="dxa"/>
            <w:vAlign w:val="center"/>
          </w:tcPr>
          <w:p w:rsidR="003959E2" w:rsidRDefault="00154457">
            <w:pPr>
              <w:jc w:val="right"/>
            </w:pPr>
            <w:r>
              <w:rPr>
                <w:color w:val="000000"/>
                <w:sz w:val="24"/>
              </w:rPr>
              <w:t>4,800,000</w:t>
            </w:r>
          </w:p>
        </w:tc>
        <w:tc>
          <w:tcPr>
            <w:tcW w:w="1944" w:type="dxa"/>
            <w:vAlign w:val="center"/>
          </w:tcPr>
          <w:p w:rsidR="003959E2" w:rsidRDefault="00154457">
            <w:pPr>
              <w:jc w:val="right"/>
            </w:pPr>
            <w:r>
              <w:rPr>
                <w:color w:val="000000"/>
                <w:sz w:val="24"/>
              </w:rPr>
              <w:t>490,848,000.00</w:t>
            </w:r>
          </w:p>
        </w:tc>
        <w:tc>
          <w:tcPr>
            <w:tcW w:w="1389" w:type="dxa"/>
            <w:vAlign w:val="center"/>
          </w:tcPr>
          <w:p w:rsidR="003959E2" w:rsidRDefault="00154457">
            <w:pPr>
              <w:jc w:val="right"/>
            </w:pPr>
            <w:r>
              <w:rPr>
                <w:color w:val="000000"/>
                <w:sz w:val="24"/>
              </w:rPr>
              <w:t>13.53</w:t>
            </w:r>
          </w:p>
        </w:tc>
      </w:tr>
      <w:tr w:rsidR="003959E2">
        <w:trPr>
          <w:jc w:val="center"/>
        </w:trPr>
        <w:tc>
          <w:tcPr>
            <w:tcW w:w="1075" w:type="dxa"/>
            <w:vAlign w:val="center"/>
          </w:tcPr>
          <w:p w:rsidR="003959E2" w:rsidRDefault="00154457">
            <w:pPr>
              <w:jc w:val="center"/>
            </w:pPr>
            <w:r>
              <w:rPr>
                <w:color w:val="000000"/>
                <w:sz w:val="24"/>
              </w:rPr>
              <w:t>4</w:t>
            </w:r>
          </w:p>
        </w:tc>
        <w:tc>
          <w:tcPr>
            <w:tcW w:w="1533" w:type="dxa"/>
            <w:vAlign w:val="center"/>
          </w:tcPr>
          <w:p w:rsidR="003959E2" w:rsidRDefault="00154457">
            <w:pPr>
              <w:jc w:val="center"/>
            </w:pPr>
            <w:r>
              <w:rPr>
                <w:color w:val="000000"/>
                <w:sz w:val="24"/>
              </w:rPr>
              <w:t>190203</w:t>
            </w:r>
          </w:p>
        </w:tc>
        <w:tc>
          <w:tcPr>
            <w:tcW w:w="1533" w:type="dxa"/>
            <w:vAlign w:val="center"/>
          </w:tcPr>
          <w:p w:rsidR="003959E2" w:rsidRDefault="00154457">
            <w:pPr>
              <w:jc w:val="center"/>
            </w:pPr>
            <w:r>
              <w:rPr>
                <w:color w:val="000000"/>
                <w:sz w:val="24"/>
              </w:rPr>
              <w:t>19</w:t>
            </w:r>
            <w:r>
              <w:rPr>
                <w:color w:val="000000"/>
                <w:sz w:val="24"/>
              </w:rPr>
              <w:t>国开</w:t>
            </w:r>
            <w:r>
              <w:rPr>
                <w:color w:val="000000"/>
                <w:sz w:val="24"/>
              </w:rPr>
              <w:t>03</w:t>
            </w:r>
          </w:p>
        </w:tc>
        <w:tc>
          <w:tcPr>
            <w:tcW w:w="1394" w:type="dxa"/>
            <w:vAlign w:val="center"/>
          </w:tcPr>
          <w:p w:rsidR="003959E2" w:rsidRDefault="00154457">
            <w:pPr>
              <w:jc w:val="right"/>
            </w:pPr>
            <w:r>
              <w:rPr>
                <w:color w:val="000000"/>
                <w:sz w:val="24"/>
              </w:rPr>
              <w:t>3,000,000</w:t>
            </w:r>
          </w:p>
        </w:tc>
        <w:tc>
          <w:tcPr>
            <w:tcW w:w="1944" w:type="dxa"/>
            <w:vAlign w:val="center"/>
          </w:tcPr>
          <w:p w:rsidR="003959E2" w:rsidRDefault="00154457">
            <w:pPr>
              <w:jc w:val="right"/>
            </w:pPr>
            <w:r>
              <w:rPr>
                <w:color w:val="000000"/>
                <w:sz w:val="24"/>
              </w:rPr>
              <w:t>300,780,000.00</w:t>
            </w:r>
          </w:p>
        </w:tc>
        <w:tc>
          <w:tcPr>
            <w:tcW w:w="1389" w:type="dxa"/>
            <w:vAlign w:val="center"/>
          </w:tcPr>
          <w:p w:rsidR="003959E2" w:rsidRDefault="00154457">
            <w:pPr>
              <w:jc w:val="right"/>
            </w:pPr>
            <w:r>
              <w:rPr>
                <w:color w:val="000000"/>
                <w:sz w:val="24"/>
              </w:rPr>
              <w:t>8.29</w:t>
            </w:r>
          </w:p>
        </w:tc>
      </w:tr>
      <w:tr w:rsidR="003959E2">
        <w:trPr>
          <w:jc w:val="center"/>
        </w:trPr>
        <w:tc>
          <w:tcPr>
            <w:tcW w:w="1075" w:type="dxa"/>
            <w:vAlign w:val="center"/>
          </w:tcPr>
          <w:p w:rsidR="003959E2" w:rsidRDefault="00154457">
            <w:pPr>
              <w:jc w:val="center"/>
            </w:pPr>
            <w:r>
              <w:rPr>
                <w:color w:val="000000"/>
                <w:sz w:val="24"/>
              </w:rPr>
              <w:t>5</w:t>
            </w:r>
          </w:p>
        </w:tc>
        <w:tc>
          <w:tcPr>
            <w:tcW w:w="1533" w:type="dxa"/>
            <w:vAlign w:val="center"/>
          </w:tcPr>
          <w:p w:rsidR="003959E2" w:rsidRDefault="00154457">
            <w:pPr>
              <w:jc w:val="center"/>
            </w:pPr>
            <w:r>
              <w:rPr>
                <w:color w:val="000000"/>
                <w:sz w:val="24"/>
              </w:rPr>
              <w:t>180204</w:t>
            </w:r>
          </w:p>
        </w:tc>
        <w:tc>
          <w:tcPr>
            <w:tcW w:w="1533" w:type="dxa"/>
            <w:vAlign w:val="center"/>
          </w:tcPr>
          <w:p w:rsidR="003959E2" w:rsidRDefault="00154457">
            <w:pPr>
              <w:jc w:val="center"/>
            </w:pPr>
            <w:r>
              <w:rPr>
                <w:color w:val="000000"/>
                <w:sz w:val="24"/>
              </w:rPr>
              <w:t>18</w:t>
            </w:r>
            <w:r>
              <w:rPr>
                <w:color w:val="000000"/>
                <w:sz w:val="24"/>
              </w:rPr>
              <w:t>国开</w:t>
            </w:r>
            <w:r>
              <w:rPr>
                <w:color w:val="000000"/>
                <w:sz w:val="24"/>
              </w:rPr>
              <w:t>04</w:t>
            </w:r>
          </w:p>
        </w:tc>
        <w:tc>
          <w:tcPr>
            <w:tcW w:w="1394" w:type="dxa"/>
            <w:vAlign w:val="center"/>
          </w:tcPr>
          <w:p w:rsidR="003959E2" w:rsidRDefault="00154457">
            <w:pPr>
              <w:jc w:val="right"/>
            </w:pPr>
            <w:r>
              <w:rPr>
                <w:color w:val="000000"/>
                <w:sz w:val="24"/>
              </w:rPr>
              <w:t>2,700,000</w:t>
            </w:r>
          </w:p>
        </w:tc>
        <w:tc>
          <w:tcPr>
            <w:tcW w:w="1944" w:type="dxa"/>
            <w:vAlign w:val="center"/>
          </w:tcPr>
          <w:p w:rsidR="003959E2" w:rsidRDefault="00154457">
            <w:pPr>
              <w:jc w:val="right"/>
            </w:pPr>
            <w:r>
              <w:rPr>
                <w:color w:val="000000"/>
                <w:sz w:val="24"/>
              </w:rPr>
              <w:t>283,851,000.00</w:t>
            </w:r>
          </w:p>
        </w:tc>
        <w:tc>
          <w:tcPr>
            <w:tcW w:w="1389" w:type="dxa"/>
            <w:vAlign w:val="center"/>
          </w:tcPr>
          <w:p w:rsidR="003959E2" w:rsidRDefault="00154457">
            <w:pPr>
              <w:jc w:val="right"/>
            </w:pPr>
            <w:r>
              <w:rPr>
                <w:color w:val="000000"/>
                <w:sz w:val="24"/>
              </w:rPr>
              <w:t>7.82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lastRenderedPageBreak/>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105,946,572.96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499,999,025.85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605,945,598.81</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3,539,654,246.74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682,794,605.40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685,705,120.69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3,536,743,731.45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3959E2" w:rsidRDefault="001544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959E2">
        <w:tc>
          <w:tcPr>
            <w:tcW w:w="992" w:type="dxa"/>
            <w:vMerge w:val="restart"/>
          </w:tcPr>
          <w:p w:rsidR="003959E2" w:rsidRDefault="003959E2"/>
          <w:p w:rsidR="003959E2" w:rsidRDefault="00154457">
            <w:r>
              <w:rPr>
                <w:rFonts w:ascii="宋体" w:hAnsi="宋体" w:hint="eastAsia"/>
                <w:bCs/>
                <w:color w:val="000000"/>
                <w:kern w:val="0"/>
                <w:szCs w:val="21"/>
              </w:rPr>
              <w:t>机构</w:t>
            </w:r>
          </w:p>
        </w:tc>
        <w:tc>
          <w:tcPr>
            <w:tcW w:w="991" w:type="dxa"/>
            <w:vAlign w:val="center"/>
          </w:tcPr>
          <w:p w:rsidR="003959E2" w:rsidRDefault="00154457">
            <w:pPr>
              <w:jc w:val="center"/>
            </w:pPr>
            <w:r>
              <w:rPr>
                <w:rFonts w:ascii="宋体" w:hAnsi="宋体" w:hint="eastAsia"/>
                <w:color w:val="000000"/>
                <w:kern w:val="0"/>
                <w:szCs w:val="21"/>
              </w:rPr>
              <w:t>1</w:t>
            </w:r>
          </w:p>
        </w:tc>
        <w:tc>
          <w:tcPr>
            <w:tcW w:w="1843" w:type="dxa"/>
            <w:vAlign w:val="center"/>
          </w:tcPr>
          <w:p w:rsidR="003959E2" w:rsidRDefault="00154457">
            <w:pPr>
              <w:jc w:val="center"/>
            </w:pPr>
            <w:r>
              <w:rPr>
                <w:rFonts w:ascii="宋体" w:hAnsi="宋体" w:hint="eastAsia"/>
                <w:color w:val="000000"/>
                <w:kern w:val="0"/>
                <w:szCs w:val="21"/>
              </w:rPr>
              <w:t>2019/10/1-2019/12/31</w:t>
            </w:r>
          </w:p>
        </w:tc>
        <w:tc>
          <w:tcPr>
            <w:tcW w:w="851" w:type="dxa"/>
            <w:vAlign w:val="center"/>
          </w:tcPr>
          <w:p w:rsidR="003959E2" w:rsidRDefault="00154457">
            <w:pPr>
              <w:jc w:val="center"/>
            </w:pPr>
            <w:r>
              <w:rPr>
                <w:rFonts w:ascii="宋体" w:hAnsi="宋体" w:hint="eastAsia"/>
                <w:color w:val="000000"/>
                <w:kern w:val="0"/>
                <w:szCs w:val="21"/>
              </w:rPr>
              <w:t>677,192,007.80</w:t>
            </w:r>
          </w:p>
        </w:tc>
        <w:tc>
          <w:tcPr>
            <w:tcW w:w="850" w:type="dxa"/>
            <w:vAlign w:val="center"/>
          </w:tcPr>
          <w:p w:rsidR="003959E2" w:rsidRDefault="00154457">
            <w:pPr>
              <w:jc w:val="center"/>
            </w:pPr>
            <w:r>
              <w:rPr>
                <w:rFonts w:ascii="宋体" w:hAnsi="宋体" w:hint="eastAsia"/>
                <w:color w:val="000000"/>
                <w:kern w:val="0"/>
                <w:szCs w:val="21"/>
              </w:rPr>
              <w:t>-</w:t>
            </w:r>
          </w:p>
        </w:tc>
        <w:tc>
          <w:tcPr>
            <w:tcW w:w="1134" w:type="dxa"/>
            <w:vAlign w:val="center"/>
          </w:tcPr>
          <w:p w:rsidR="003959E2" w:rsidRDefault="00154457">
            <w:pPr>
              <w:jc w:val="center"/>
            </w:pPr>
            <w:r>
              <w:rPr>
                <w:rFonts w:ascii="宋体" w:hAnsi="宋体" w:hint="eastAsia"/>
                <w:color w:val="000000"/>
                <w:kern w:val="0"/>
                <w:szCs w:val="21"/>
              </w:rPr>
              <w:t>-</w:t>
            </w:r>
          </w:p>
        </w:tc>
        <w:tc>
          <w:tcPr>
            <w:tcW w:w="1419" w:type="dxa"/>
            <w:vAlign w:val="center"/>
          </w:tcPr>
          <w:p w:rsidR="003959E2" w:rsidRDefault="00154457">
            <w:pPr>
              <w:jc w:val="center"/>
            </w:pPr>
            <w:r>
              <w:rPr>
                <w:rFonts w:ascii="宋体" w:hAnsi="宋体" w:hint="eastAsia"/>
                <w:color w:val="000000"/>
                <w:kern w:val="0"/>
                <w:szCs w:val="21"/>
              </w:rPr>
              <w:t>677,192,007.80</w:t>
            </w:r>
          </w:p>
        </w:tc>
        <w:tc>
          <w:tcPr>
            <w:tcW w:w="1130" w:type="dxa"/>
            <w:vAlign w:val="center"/>
          </w:tcPr>
          <w:p w:rsidR="003959E2" w:rsidRDefault="00154457">
            <w:pPr>
              <w:jc w:val="center"/>
            </w:pPr>
            <w:r>
              <w:rPr>
                <w:rFonts w:ascii="宋体" w:hAnsi="宋体" w:hint="eastAsia"/>
                <w:color w:val="000000"/>
                <w:kern w:val="0"/>
                <w:szCs w:val="21"/>
              </w:rPr>
              <w:t>19.15%</w:t>
            </w:r>
          </w:p>
        </w:tc>
      </w:tr>
      <w:tr w:rsidR="003959E2">
        <w:tc>
          <w:tcPr>
            <w:tcW w:w="992" w:type="dxa"/>
            <w:vMerge/>
          </w:tcPr>
          <w:p w:rsidR="003959E2" w:rsidRDefault="003959E2"/>
        </w:tc>
        <w:tc>
          <w:tcPr>
            <w:tcW w:w="991" w:type="dxa"/>
            <w:vAlign w:val="center"/>
          </w:tcPr>
          <w:p w:rsidR="003959E2" w:rsidRDefault="00154457">
            <w:pPr>
              <w:jc w:val="center"/>
            </w:pPr>
            <w:r>
              <w:rPr>
                <w:rFonts w:ascii="宋体" w:hAnsi="宋体" w:hint="eastAsia"/>
                <w:color w:val="000000"/>
                <w:kern w:val="0"/>
                <w:szCs w:val="21"/>
              </w:rPr>
              <w:t>2</w:t>
            </w:r>
          </w:p>
        </w:tc>
        <w:tc>
          <w:tcPr>
            <w:tcW w:w="1843" w:type="dxa"/>
            <w:vAlign w:val="center"/>
          </w:tcPr>
          <w:p w:rsidR="003959E2" w:rsidRDefault="00154457">
            <w:pPr>
              <w:jc w:val="center"/>
            </w:pPr>
            <w:r>
              <w:rPr>
                <w:rFonts w:ascii="宋体" w:hAnsi="宋体" w:hint="eastAsia"/>
                <w:color w:val="000000"/>
                <w:kern w:val="0"/>
                <w:szCs w:val="21"/>
              </w:rPr>
              <w:t>2019/10/1-2019/12/31</w:t>
            </w:r>
          </w:p>
        </w:tc>
        <w:tc>
          <w:tcPr>
            <w:tcW w:w="851" w:type="dxa"/>
            <w:vAlign w:val="center"/>
          </w:tcPr>
          <w:p w:rsidR="003959E2" w:rsidRDefault="00154457">
            <w:pPr>
              <w:jc w:val="center"/>
            </w:pPr>
            <w:r>
              <w:rPr>
                <w:rFonts w:ascii="宋体" w:hAnsi="宋体" w:hint="eastAsia"/>
                <w:color w:val="000000"/>
                <w:kern w:val="0"/>
                <w:szCs w:val="21"/>
              </w:rPr>
              <w:t>687,474,489.45</w:t>
            </w:r>
          </w:p>
        </w:tc>
        <w:tc>
          <w:tcPr>
            <w:tcW w:w="850" w:type="dxa"/>
            <w:vAlign w:val="center"/>
          </w:tcPr>
          <w:p w:rsidR="003959E2" w:rsidRDefault="00154457">
            <w:pPr>
              <w:jc w:val="center"/>
            </w:pPr>
            <w:r>
              <w:rPr>
                <w:rFonts w:ascii="宋体" w:hAnsi="宋体" w:hint="eastAsia"/>
                <w:color w:val="000000"/>
                <w:kern w:val="0"/>
                <w:szCs w:val="21"/>
              </w:rPr>
              <w:t>-</w:t>
            </w:r>
          </w:p>
        </w:tc>
        <w:tc>
          <w:tcPr>
            <w:tcW w:w="1134" w:type="dxa"/>
            <w:vAlign w:val="center"/>
          </w:tcPr>
          <w:p w:rsidR="003959E2" w:rsidRDefault="00154457">
            <w:pPr>
              <w:jc w:val="center"/>
            </w:pPr>
            <w:r>
              <w:rPr>
                <w:rFonts w:ascii="宋体" w:hAnsi="宋体" w:hint="eastAsia"/>
                <w:color w:val="000000"/>
                <w:kern w:val="0"/>
                <w:szCs w:val="21"/>
              </w:rPr>
              <w:t>-</w:t>
            </w:r>
          </w:p>
        </w:tc>
        <w:tc>
          <w:tcPr>
            <w:tcW w:w="1419" w:type="dxa"/>
            <w:vAlign w:val="center"/>
          </w:tcPr>
          <w:p w:rsidR="003959E2" w:rsidRDefault="00154457">
            <w:pPr>
              <w:jc w:val="center"/>
            </w:pPr>
            <w:r>
              <w:rPr>
                <w:rFonts w:ascii="宋体" w:hAnsi="宋体" w:hint="eastAsia"/>
                <w:color w:val="000000"/>
                <w:kern w:val="0"/>
                <w:szCs w:val="21"/>
              </w:rPr>
              <w:t>687,474,489.45</w:t>
            </w:r>
          </w:p>
        </w:tc>
        <w:tc>
          <w:tcPr>
            <w:tcW w:w="1130" w:type="dxa"/>
            <w:vAlign w:val="center"/>
          </w:tcPr>
          <w:p w:rsidR="003959E2" w:rsidRDefault="00154457">
            <w:pPr>
              <w:jc w:val="center"/>
            </w:pPr>
            <w:r>
              <w:rPr>
                <w:rFonts w:ascii="宋体" w:hAnsi="宋体" w:hint="eastAsia"/>
                <w:color w:val="000000"/>
                <w:kern w:val="0"/>
                <w:szCs w:val="21"/>
              </w:rPr>
              <w:t>19.44%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、中国证监会准予交银施罗德裕祥纯债债券型证券投资基金募集注册的文件；</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、《交银施罗德裕祥纯债债券型证券投资基金基金合同》；</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、《交银施罗德裕祥纯债债券型证券投资基金招募说明书》；</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、《交银施罗德裕祥纯债债券型证券投资基金托管协议》；</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、关于申请募集注册交银施罗德裕祥纯债债券型证券投资基金的法律意见书；</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、报告期内交银施罗德裕祥纯债债券型证券投资基金在指定报刊上各项公告的原稿。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3959E2" w:rsidRDefault="0015445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55F62">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55F62">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3" w:rsidRDefault="006A0963">
      <w:r>
        <w:separator/>
      </w:r>
    </w:p>
  </w:footnote>
  <w:footnote w:type="continuationSeparator" w:id="0">
    <w:p w:rsidR="006A0963" w:rsidRDefault="006A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457"/>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59E2"/>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62"/>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F320-24C4-4397-8292-F10E4EE0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253</TotalTime>
  <Pages>14</Pages>
  <Words>1178</Words>
  <Characters>6715</Characters>
  <Application>Microsoft Office Word</Application>
  <DocSecurity>0</DocSecurity>
  <Lines>55</Lines>
  <Paragraphs>15</Paragraphs>
  <ScaleCrop>false</ScaleCrop>
  <Company>TRT. Ltd. Co.</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405</cp:revision>
  <cp:lastPrinted>2007-07-19T00:46:00Z</cp:lastPrinted>
  <dcterms:created xsi:type="dcterms:W3CDTF">2014-01-17T06:19:00Z</dcterms:created>
  <dcterms:modified xsi:type="dcterms:W3CDTF">2020-01-10T03:05:00Z</dcterms:modified>
</cp:coreProperties>
</file>