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交银施罗德沪港深价值精选灵活配置混合型证券投资基金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交银沪港深价值精选混合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519779</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519779</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2016年11月7日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322,597,570.17</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本基金通过优化资产配置和灵活运用多种投资策略，把握沪港通及后续资本市场开放政策带来的投资机会，力争实现基金资产的长期稳定增值。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沪深300指数收益率×40%+恒生指数收益率×40%+中证综合债券指数收益率×20%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本基金是一只混合型基金，其风险和预期收益高于债券型基金和货币市场基金，低于股票型基金。属于承担较高风险、预期收益较高的证券投资基金品种。</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11,628,237.32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38,563,400.70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0.1123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424,674,035.94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1.316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9.39%</w:t>
            </w:r>
          </w:p>
        </w:tc>
        <w:tc>
          <w:tcPr>
            <w:vAlign w:val="center"/>
          </w:tcPr>
          <w:p>
            <w:pPr>
              <w:jc w:val="center"/>
            </w:pPr>
            <w:r>
              <w:rPr>
                <w:color w:val="000000"/>
                <w:sz w:val="24"/>
                <w:szCs w:val="24"/>
              </w:rPr>
              <w:t>0.75%</w:t>
            </w:r>
          </w:p>
        </w:tc>
        <w:tc>
          <w:tcPr>
            <w:vAlign w:val="center"/>
          </w:tcPr>
          <w:p>
            <w:pPr>
              <w:jc w:val="center"/>
            </w:pPr>
            <w:r>
              <w:rPr>
                <w:color w:val="000000"/>
                <w:sz w:val="24"/>
                <w:szCs w:val="24"/>
              </w:rPr>
              <w:t>6.46%</w:t>
            </w:r>
          </w:p>
        </w:tc>
        <w:tc>
          <w:tcPr>
            <w:vAlign w:val="center"/>
          </w:tcPr>
          <w:p>
            <w:pPr>
              <w:jc w:val="center"/>
            </w:pPr>
            <w:r>
              <w:rPr>
                <w:color w:val="000000"/>
                <w:sz w:val="24"/>
                <w:szCs w:val="24"/>
              </w:rPr>
              <w:t>0.61%</w:t>
            </w:r>
          </w:p>
        </w:tc>
        <w:tc>
          <w:tcPr>
            <w:vAlign w:val="center"/>
          </w:tcPr>
          <w:p>
            <w:pPr>
              <w:jc w:val="center"/>
            </w:pPr>
            <w:r>
              <w:rPr>
                <w:color w:val="000000"/>
                <w:sz w:val="24"/>
                <w:szCs w:val="24"/>
              </w:rPr>
              <w:t>2.93%</w:t>
            </w:r>
          </w:p>
        </w:tc>
        <w:tc>
          <w:tcPr>
            <w:vAlign w:val="center"/>
          </w:tcPr>
          <w:p>
            <w:pPr>
              <w:jc w:val="center"/>
            </w:pPr>
            <w:r>
              <w:rPr>
                <w:color w:val="000000"/>
                <w:sz w:val="24"/>
                <w:szCs w:val="24"/>
              </w:rPr>
              <w:t>0.14%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交银施罗德沪港深价值精选灵活配置混合型证券投资基金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2016年11月7日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陈俊华</w:t>
            </w:r>
          </w:p>
        </w:tc>
        <w:tc>
          <w:tcPr>
            <w:vAlign w:val="center"/>
          </w:tcPr>
          <w:p>
            <w:pPr>
              <w:jc w:val="center"/>
            </w:pPr>
            <w:r>
              <w:rPr>
                <w:color w:val="000000"/>
                <w:sz w:val="24"/>
                <w:szCs w:val="24"/>
              </w:rPr>
              <w:t>交银环球精选混合(QDII)、交银沪港深价值精选混合、交银核心资产混合的基金经理，公司跨境投资副总监</w:t>
            </w:r>
          </w:p>
        </w:tc>
        <w:tc>
          <w:tcPr>
            <w:vAlign w:val="center"/>
          </w:tcPr>
          <w:p>
            <w:pPr>
              <w:jc w:val="center"/>
            </w:pPr>
            <w:r>
              <w:rPr>
                <w:color w:val="000000"/>
                <w:sz w:val="24"/>
                <w:szCs w:val="24"/>
              </w:rPr>
              <w:t>2016-11-07</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陈俊华女士，中国国籍，上海交通大学金融学硕士。历任国泰君安证券研究部研究员、中国国际金融有限公司研究部公用事业组负责人。2015年加入交银施罗德基金管理有限公司。2015年11月21日至2019年9月19日担任交银施罗德全球自然资源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获益于中美贸易谈判趋缓和海外央行纷纷降息，流动性预期改善，全球股市迎来季度性上涨。发达国家股市好于发展中国家股市，科技股好于其他板块。A股和港股也纷纷取得正收益，香港股市波动大于A股市场。从市场热点来看，5G、云计算以及网络安全等领域继续受到高度关注。四季度末，投资者对于制造业的关注度开始提升，而对于消费品板块，投资者仍然有所分歧，整体板块表现一般。</w:t>
      </w:r>
    </w:p>
    <w:p>
      <w:pPr>
        <w:spacing w:before="29" w:line="288" w:lineRule="auto"/>
        <w:ind w:firstLine="480" w:firstLineChars="200"/>
        <w:rPr>
          <w:color w:val="000000"/>
          <w:sz w:val="24"/>
          <w:szCs w:val="24"/>
        </w:rPr>
      </w:pPr>
      <w:r>
        <w:rPr>
          <w:color w:val="000000"/>
          <w:sz w:val="24"/>
          <w:szCs w:val="24"/>
        </w:rPr>
        <w:t>回顾2019年四季度，我们维持高仓位运行，减少了科技硬件板块持仓，增加了软件、消费服务类的持仓，增加了对于港股的配置比例，同时更加聚焦板块龙头个股，整体操作为投资者获得了正收益。特别值得一提的是，2019年九月海外央行开始降息，在相对宽松的流动性下，全球投资者再次面临“资产荒”的挑战，优质的龙头个股有望获得更多的估值溢价。相较于海外市场，我们在消费、制造业和软件应用领域，拥有全球最大的市场，相关的生产配套、产品迭代能力都是最好的，而龙头公司的产品升级和应对风险能力显著优于同行。因此我们将继续实施聚焦龙头的投资策略。</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我们谨慎乐观。目前，投资者对于未来宏观经济普遍抱以谨慎预期：CPI上行、经济增速放缓、财政和货币政策潜在空间不大等等。我们认为当前的估值已经反映了一定的悲观预期。相较于上述宏观指标，我们更加关注企业新订单的落实情况以及企业的现金流改善状况，这对其2020年及今后的增长预期起到重要指引作用。分行业来说，我们重点关注三个方面：1）5G引发的科技板块的变革和受益标的；2）消费服务领域，谁能更好的满足消费者需求的变化？更好的供应链匹配能力、产品迭代能力和品牌力？3）哪些公司在高端制造领域，拥有全球产业链竞争地位，市占率在提升？我们将继续在上述领域寻找投资标的，继续勤勉尽责地积极调研，努力为投资人赚取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359,984,753.76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82.42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359,984,753.76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82.42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20,032,000.00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20,032,000.00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51,490,982.63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11.79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5,276,999.15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436,784,735.54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105,415,996.83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24.82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15,445,196.25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50,397,501.86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11.87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31,170,059.67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7.34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9,212,000.00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11,884,686.96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223,532,019.61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52.64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tbl>
      <w:tblPr>
        <w:tblW w:type="dxa" w:w="8634"/>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2397"/>
        <w:gridCol w:w="3119"/>
        <w:gridCol w:w="3118"/>
      </w:tblGrid>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行业类别</w:t>
            </w:r>
            <w:r w:rsidRPr="00FF0BBF">
              <w:rPr>
                <w:color w:val="000000"/>
                <w:sz w:val="24"/>
              </w:rPr>
              <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公允价值（人民币）</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tc>
          <w:tcPr>
            <w:vAlign w:val="center"/>
          </w:tcPr>
          <w:p>
            <w:pPr>
              <w:jc w:val="center"/>
            </w:pPr>
            <w:r>
              <w:rPr>
                <w:color w:val="000000"/>
                <w:sz w:val="24"/>
              </w:rPr>
              <w:t>非日常生活消费品</w:t>
            </w:r>
          </w:p>
        </w:tc>
        <w:tc>
          <w:tcPr>
            <w:vAlign w:val="center"/>
          </w:tcPr>
          <w:p>
            <w:pPr>
              <w:jc w:val="center"/>
            </w:pPr>
            <w:r>
              <w:rPr>
                <w:color w:val="000000"/>
                <w:sz w:val="24"/>
              </w:rPr>
              <w:t>50,523,783.56</w:t>
            </w:r>
          </w:p>
        </w:tc>
        <w:tc>
          <w:tcPr>
            <w:vAlign w:val="center"/>
          </w:tcPr>
          <w:p>
            <w:pPr>
              <w:jc w:val="center"/>
            </w:pPr>
            <w:r>
              <w:rPr>
                <w:color w:val="000000"/>
                <w:sz w:val="24"/>
              </w:rPr>
              <w:t>11.90</w:t>
            </w:r>
          </w:p>
        </w:tc>
      </w:tr>
      <w:tr>
        <w:tc>
          <w:tcPr>
            <w:vAlign w:val="center"/>
          </w:tcPr>
          <w:p>
            <w:pPr>
              <w:jc w:val="center"/>
            </w:pPr>
            <w:r>
              <w:rPr>
                <w:color w:val="000000"/>
                <w:sz w:val="24"/>
              </w:rPr>
              <w:t>信息技术</w:t>
            </w:r>
          </w:p>
        </w:tc>
        <w:tc>
          <w:tcPr>
            <w:vAlign w:val="center"/>
          </w:tcPr>
          <w:p>
            <w:pPr>
              <w:jc w:val="center"/>
            </w:pPr>
            <w:r>
              <w:rPr>
                <w:color w:val="000000"/>
                <w:sz w:val="24"/>
              </w:rPr>
              <w:t>27,271,126.32</w:t>
            </w:r>
          </w:p>
        </w:tc>
        <w:tc>
          <w:tcPr>
            <w:vAlign w:val="center"/>
          </w:tcPr>
          <w:p>
            <w:pPr>
              <w:jc w:val="center"/>
            </w:pPr>
            <w:r>
              <w:rPr>
                <w:color w:val="000000"/>
                <w:sz w:val="24"/>
              </w:rPr>
              <w:t>6.42</w:t>
            </w:r>
          </w:p>
        </w:tc>
      </w:tr>
      <w:tr>
        <w:tc>
          <w:tcPr>
            <w:vAlign w:val="center"/>
          </w:tcPr>
          <w:p>
            <w:pPr>
              <w:jc w:val="center"/>
            </w:pPr>
            <w:r>
              <w:rPr>
                <w:color w:val="000000"/>
                <w:sz w:val="24"/>
              </w:rPr>
              <w:t>通讯服务</w:t>
            </w:r>
          </w:p>
        </w:tc>
        <w:tc>
          <w:tcPr>
            <w:vAlign w:val="center"/>
          </w:tcPr>
          <w:p>
            <w:pPr>
              <w:jc w:val="center"/>
            </w:pPr>
            <w:r>
              <w:rPr>
                <w:color w:val="000000"/>
                <w:sz w:val="24"/>
              </w:rPr>
              <w:t>18,168,568.27</w:t>
            </w:r>
          </w:p>
        </w:tc>
        <w:tc>
          <w:tcPr>
            <w:vAlign w:val="center"/>
          </w:tcPr>
          <w:p>
            <w:pPr>
              <w:jc w:val="center"/>
            </w:pPr>
            <w:r>
              <w:rPr>
                <w:color w:val="000000"/>
                <w:sz w:val="24"/>
              </w:rPr>
              <w:t>4.28</w:t>
            </w:r>
          </w:p>
        </w:tc>
      </w:tr>
      <w:tr>
        <w:tc>
          <w:tcPr>
            <w:vAlign w:val="center"/>
          </w:tcPr>
          <w:p>
            <w:pPr>
              <w:jc w:val="center"/>
            </w:pPr>
            <w:r>
              <w:rPr>
                <w:color w:val="000000"/>
                <w:sz w:val="24"/>
              </w:rPr>
              <w:t>房地产</w:t>
            </w:r>
          </w:p>
        </w:tc>
        <w:tc>
          <w:tcPr>
            <w:vAlign w:val="center"/>
          </w:tcPr>
          <w:p>
            <w:pPr>
              <w:jc w:val="center"/>
            </w:pPr>
            <w:r>
              <w:rPr>
                <w:color w:val="000000"/>
                <w:sz w:val="24"/>
              </w:rPr>
              <w:t>18,072,361.50</w:t>
            </w:r>
          </w:p>
        </w:tc>
        <w:tc>
          <w:tcPr>
            <w:vAlign w:val="center"/>
          </w:tcPr>
          <w:p>
            <w:pPr>
              <w:jc w:val="center"/>
            </w:pPr>
            <w:r>
              <w:rPr>
                <w:color w:val="000000"/>
                <w:sz w:val="24"/>
              </w:rPr>
              <w:t>4.26</w:t>
            </w:r>
          </w:p>
        </w:tc>
      </w:tr>
      <w:tr>
        <w:tc>
          <w:tcPr>
            <w:vAlign w:val="center"/>
          </w:tcPr>
          <w:p>
            <w:pPr>
              <w:jc w:val="center"/>
            </w:pPr>
            <w:r>
              <w:rPr>
                <w:color w:val="000000"/>
                <w:sz w:val="24"/>
              </w:rPr>
              <w:t>金融</w:t>
            </w:r>
          </w:p>
        </w:tc>
        <w:tc>
          <w:tcPr>
            <w:vAlign w:val="center"/>
          </w:tcPr>
          <w:p>
            <w:pPr>
              <w:jc w:val="center"/>
            </w:pPr>
            <w:r>
              <w:rPr>
                <w:color w:val="000000"/>
                <w:sz w:val="24"/>
              </w:rPr>
              <w:t>10,749,360.00</w:t>
            </w:r>
          </w:p>
        </w:tc>
        <w:tc>
          <w:tcPr>
            <w:vAlign w:val="center"/>
          </w:tcPr>
          <w:p>
            <w:pPr>
              <w:jc w:val="center"/>
            </w:pPr>
            <w:r>
              <w:rPr>
                <w:color w:val="000000"/>
                <w:sz w:val="24"/>
              </w:rPr>
              <w:t>2.53</w:t>
            </w:r>
          </w:p>
        </w:tc>
      </w:tr>
      <w:tr>
        <w:tc>
          <w:tcPr>
            <w:vAlign w:val="center"/>
          </w:tcPr>
          <w:p>
            <w:pPr>
              <w:jc w:val="center"/>
            </w:pPr>
            <w:r>
              <w:rPr>
                <w:color w:val="000000"/>
                <w:sz w:val="24"/>
              </w:rPr>
              <w:t>工业</w:t>
            </w:r>
          </w:p>
        </w:tc>
        <w:tc>
          <w:tcPr>
            <w:vAlign w:val="center"/>
          </w:tcPr>
          <w:p>
            <w:pPr>
              <w:jc w:val="center"/>
            </w:pPr>
            <w:r>
              <w:rPr>
                <w:color w:val="000000"/>
                <w:sz w:val="24"/>
              </w:rPr>
              <w:t>8,532,304.50</w:t>
            </w:r>
          </w:p>
        </w:tc>
        <w:tc>
          <w:tcPr>
            <w:vAlign w:val="center"/>
          </w:tcPr>
          <w:p>
            <w:pPr>
              <w:jc w:val="center"/>
            </w:pPr>
            <w:r>
              <w:rPr>
                <w:color w:val="000000"/>
                <w:sz w:val="24"/>
              </w:rPr>
              <w:t>2.01</w:t>
            </w:r>
          </w:p>
        </w:tc>
      </w:tr>
      <w:tr>
        <w:tc>
          <w:tcPr>
            <w:vAlign w:val="center"/>
          </w:tcPr>
          <w:p>
            <w:pPr>
              <w:jc w:val="center"/>
            </w:pPr>
            <w:r>
              <w:rPr>
                <w:color w:val="000000"/>
                <w:sz w:val="24"/>
              </w:rPr>
              <w:t>能源</w:t>
            </w:r>
          </w:p>
        </w:tc>
        <w:tc>
          <w:tcPr>
            <w:vAlign w:val="center"/>
          </w:tcPr>
          <w:p>
            <w:pPr>
              <w:jc w:val="center"/>
            </w:pPr>
            <w:r>
              <w:rPr>
                <w:color w:val="000000"/>
                <w:sz w:val="24"/>
              </w:rPr>
              <w:t>3,135,230.00</w:t>
            </w:r>
          </w:p>
        </w:tc>
        <w:tc>
          <w:tcPr>
            <w:vAlign w:val="center"/>
          </w:tcPr>
          <w:p>
            <w:pPr>
              <w:jc w:val="center"/>
            </w:pPr>
            <w:r>
              <w:rPr>
                <w:color w:val="000000"/>
                <w:sz w:val="24"/>
              </w:rPr>
              <w:t>0.74</w:t>
            </w:r>
          </w:p>
        </w:tc>
      </w:tr>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合计</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136,452,734.15</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32.13</w:t>
            </w:r>
          </w:p>
        </w:tc>
      </w:tr>
    </w:tbl>
    <w:p w:rsidP="00F51C4E" w:rsidR="00F51C4E" w:rsidRDefault="00F51C4E">
      <w:pPr>
        <w:spacing w:before="29" w:line="360" w:lineRule="auto"/>
        <w:ind w:left="17"/>
        <w:rPr>
          <w:color w:val="000000"/>
          <w:sz w:val="24"/>
        </w:rPr>
      </w:pPr>
      <w:r w:rsidRPr="00FF0BBF">
        <w:rPr>
          <w:color w:val="000000"/>
          <w:sz w:val="24"/>
        </w:rPr>
        <w:t>注：以上分类采用全球行业分类标准（GICS）。</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02238.HK</w:t>
            </w:r>
          </w:p>
        </w:tc>
        <w:tc>
          <w:tcPr>
            <w:vAlign w:val="center"/>
          </w:tcPr>
          <w:p>
            <w:pPr>
              <w:jc w:val="center"/>
            </w:pPr>
            <w:r>
              <w:rPr>
                <w:color w:val="000000"/>
                <w:sz w:val="24"/>
                <w:szCs w:val="24"/>
              </w:rPr>
              <w:t>广汽集团</w:t>
            </w:r>
          </w:p>
        </w:tc>
        <w:tc>
          <w:tcPr>
            <w:vAlign w:val="center"/>
          </w:tcPr>
          <w:p>
            <w:pPr>
              <w:jc w:val="right"/>
            </w:pPr>
            <w:r>
              <w:rPr>
                <w:color w:val="000000"/>
                <w:sz w:val="24"/>
                <w:szCs w:val="24"/>
              </w:rPr>
              <w:t>2,700,000</w:t>
            </w:r>
          </w:p>
        </w:tc>
        <w:tc>
          <w:tcPr>
            <w:vAlign w:val="center"/>
          </w:tcPr>
          <w:p>
            <w:pPr>
              <w:jc w:val="right"/>
            </w:pPr>
            <w:r>
              <w:rPr>
                <w:color w:val="000000"/>
                <w:sz w:val="24"/>
                <w:szCs w:val="24"/>
              </w:rPr>
              <w:t>23,460,478.20</w:t>
            </w:r>
          </w:p>
        </w:tc>
        <w:tc>
          <w:tcPr>
            <w:vAlign w:val="center"/>
          </w:tcPr>
          <w:p>
            <w:pPr>
              <w:jc w:val="right"/>
            </w:pPr>
            <w:r>
              <w:rPr>
                <w:color w:val="000000"/>
                <w:sz w:val="24"/>
                <w:szCs w:val="24"/>
              </w:rPr>
              <w:t>5.52</w:t>
            </w:r>
          </w:p>
        </w:tc>
      </w:tr>
      <w:tr>
        <w:tc>
          <w:tcPr>
            <w:vAlign w:val="center"/>
          </w:tcPr>
          <w:p>
            <w:pPr>
              <w:jc w:val="center"/>
            </w:pPr>
            <w:r>
              <w:rPr>
                <w:color w:val="000000"/>
                <w:sz w:val="24"/>
                <w:szCs w:val="24"/>
              </w:rPr>
              <w:t>2</w:t>
            </w:r>
          </w:p>
        </w:tc>
        <w:tc>
          <w:tcPr>
            <w:vAlign w:val="center"/>
          </w:tcPr>
          <w:p>
            <w:pPr>
              <w:jc w:val="center"/>
            </w:pPr>
            <w:r>
              <w:rPr>
                <w:color w:val="000000"/>
                <w:sz w:val="24"/>
                <w:szCs w:val="24"/>
              </w:rPr>
              <w:t>02382.HK</w:t>
            </w:r>
          </w:p>
        </w:tc>
        <w:tc>
          <w:tcPr>
            <w:vAlign w:val="center"/>
          </w:tcPr>
          <w:p>
            <w:pPr>
              <w:jc w:val="center"/>
            </w:pPr>
            <w:r>
              <w:rPr>
                <w:color w:val="000000"/>
                <w:sz w:val="24"/>
                <w:szCs w:val="24"/>
              </w:rPr>
              <w:t>舜宇光学科技</w:t>
            </w:r>
          </w:p>
        </w:tc>
        <w:tc>
          <w:tcPr>
            <w:vAlign w:val="center"/>
          </w:tcPr>
          <w:p>
            <w:pPr>
              <w:jc w:val="right"/>
            </w:pPr>
            <w:r>
              <w:rPr>
                <w:color w:val="000000"/>
                <w:sz w:val="24"/>
                <w:szCs w:val="24"/>
              </w:rPr>
              <w:t>160,000</w:t>
            </w:r>
          </w:p>
        </w:tc>
        <w:tc>
          <w:tcPr>
            <w:vAlign w:val="center"/>
          </w:tcPr>
          <w:p>
            <w:pPr>
              <w:jc w:val="right"/>
            </w:pPr>
            <w:r>
              <w:rPr>
                <w:color w:val="000000"/>
                <w:sz w:val="24"/>
                <w:szCs w:val="24"/>
              </w:rPr>
              <w:t>19,334,515.52</w:t>
            </w:r>
          </w:p>
        </w:tc>
        <w:tc>
          <w:tcPr>
            <w:vAlign w:val="center"/>
          </w:tcPr>
          <w:p>
            <w:pPr>
              <w:jc w:val="right"/>
            </w:pPr>
            <w:r>
              <w:rPr>
                <w:color w:val="000000"/>
                <w:sz w:val="24"/>
                <w:szCs w:val="24"/>
              </w:rPr>
              <w:t>4.55</w:t>
            </w:r>
          </w:p>
        </w:tc>
      </w:tr>
      <w:tr>
        <w:tc>
          <w:tcPr>
            <w:vAlign w:val="center"/>
          </w:tcPr>
          <w:p>
            <w:pPr>
              <w:jc w:val="center"/>
            </w:pPr>
            <w:r>
              <w:rPr>
                <w:color w:val="000000"/>
                <w:sz w:val="24"/>
                <w:szCs w:val="24"/>
              </w:rPr>
              <w:t>3</w:t>
            </w:r>
          </w:p>
        </w:tc>
        <w:tc>
          <w:tcPr>
            <w:vAlign w:val="center"/>
          </w:tcPr>
          <w:p>
            <w:pPr>
              <w:jc w:val="center"/>
            </w:pPr>
            <w:r>
              <w:rPr>
                <w:color w:val="000000"/>
                <w:sz w:val="24"/>
                <w:szCs w:val="24"/>
              </w:rPr>
              <w:t>00700.HK</w:t>
            </w:r>
          </w:p>
        </w:tc>
        <w:tc>
          <w:tcPr>
            <w:vAlign w:val="center"/>
          </w:tcPr>
          <w:p>
            <w:pPr>
              <w:jc w:val="center"/>
            </w:pPr>
            <w:r>
              <w:rPr>
                <w:color w:val="000000"/>
                <w:sz w:val="24"/>
                <w:szCs w:val="24"/>
              </w:rPr>
              <w:t>腾讯控股</w:t>
            </w:r>
          </w:p>
        </w:tc>
        <w:tc>
          <w:tcPr>
            <w:vAlign w:val="center"/>
          </w:tcPr>
          <w:p>
            <w:pPr>
              <w:jc w:val="right"/>
            </w:pPr>
            <w:r>
              <w:rPr>
                <w:color w:val="000000"/>
                <w:sz w:val="24"/>
                <w:szCs w:val="24"/>
              </w:rPr>
              <w:t>54,000</w:t>
            </w:r>
          </w:p>
        </w:tc>
        <w:tc>
          <w:tcPr>
            <w:vAlign w:val="center"/>
          </w:tcPr>
          <w:p>
            <w:pPr>
              <w:jc w:val="right"/>
            </w:pPr>
            <w:r>
              <w:rPr>
                <w:color w:val="000000"/>
                <w:sz w:val="24"/>
                <w:szCs w:val="24"/>
              </w:rPr>
              <w:t>18,168,568.27</w:t>
            </w:r>
          </w:p>
        </w:tc>
        <w:tc>
          <w:tcPr>
            <w:vAlign w:val="center"/>
          </w:tcPr>
          <w:p>
            <w:pPr>
              <w:jc w:val="right"/>
            </w:pPr>
            <w:r>
              <w:rPr>
                <w:color w:val="000000"/>
                <w:sz w:val="24"/>
                <w:szCs w:val="24"/>
              </w:rPr>
              <w:t>4.28</w:t>
            </w:r>
          </w:p>
        </w:tc>
      </w:tr>
      <w:tr>
        <w:tc>
          <w:tcPr>
            <w:vAlign w:val="center"/>
          </w:tcPr>
          <w:p>
            <w:pPr>
              <w:jc w:val="center"/>
            </w:pPr>
            <w:r>
              <w:rPr>
                <w:color w:val="000000"/>
                <w:sz w:val="24"/>
                <w:szCs w:val="24"/>
              </w:rPr>
              <w:t>4</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15,000</w:t>
            </w:r>
          </w:p>
        </w:tc>
        <w:tc>
          <w:tcPr>
            <w:vAlign w:val="center"/>
          </w:tcPr>
          <w:p>
            <w:pPr>
              <w:jc w:val="right"/>
            </w:pPr>
            <w:r>
              <w:rPr>
                <w:color w:val="000000"/>
                <w:sz w:val="24"/>
                <w:szCs w:val="24"/>
              </w:rPr>
              <w:t>17,745,000.00</w:t>
            </w:r>
          </w:p>
        </w:tc>
        <w:tc>
          <w:tcPr>
            <w:vAlign w:val="center"/>
          </w:tcPr>
          <w:p>
            <w:pPr>
              <w:jc w:val="right"/>
            </w:pPr>
            <w:r>
              <w:rPr>
                <w:color w:val="000000"/>
                <w:sz w:val="24"/>
                <w:szCs w:val="24"/>
              </w:rPr>
              <w:t>4.18</w:t>
            </w:r>
          </w:p>
        </w:tc>
      </w:tr>
      <w:tr>
        <w:tc>
          <w:tcPr>
            <w:vAlign w:val="center"/>
          </w:tcPr>
          <w:p>
            <w:pPr>
              <w:jc w:val="center"/>
            </w:pPr>
            <w:r>
              <w:rPr>
                <w:color w:val="000000"/>
                <w:sz w:val="24"/>
                <w:szCs w:val="24"/>
              </w:rPr>
              <w:t>5</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180,000</w:t>
            </w:r>
          </w:p>
        </w:tc>
        <w:tc>
          <w:tcPr>
            <w:vAlign w:val="center"/>
          </w:tcPr>
          <w:p>
            <w:pPr>
              <w:jc w:val="right"/>
            </w:pPr>
            <w:r>
              <w:rPr>
                <w:color w:val="000000"/>
                <w:sz w:val="24"/>
                <w:szCs w:val="24"/>
              </w:rPr>
              <w:t>15,753,600.00</w:t>
            </w:r>
          </w:p>
        </w:tc>
        <w:tc>
          <w:tcPr>
            <w:vAlign w:val="center"/>
          </w:tcPr>
          <w:p>
            <w:pPr>
              <w:jc w:val="right"/>
            </w:pPr>
            <w:r>
              <w:rPr>
                <w:color w:val="000000"/>
                <w:sz w:val="24"/>
                <w:szCs w:val="24"/>
              </w:rPr>
              <w:t>3.71</w:t>
            </w:r>
          </w:p>
        </w:tc>
      </w:tr>
      <w:tr>
        <w:tc>
          <w:tcPr>
            <w:vAlign w:val="center"/>
          </w:tcPr>
          <w:p>
            <w:pPr>
              <w:jc w:val="center"/>
            </w:pPr>
            <w:r>
              <w:rPr>
                <w:color w:val="000000"/>
                <w:sz w:val="24"/>
                <w:szCs w:val="24"/>
              </w:rPr>
              <w:t>6</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400,000</w:t>
            </w:r>
          </w:p>
        </w:tc>
        <w:tc>
          <w:tcPr>
            <w:vAlign w:val="center"/>
          </w:tcPr>
          <w:p>
            <w:pPr>
              <w:jc w:val="right"/>
            </w:pPr>
            <w:r>
              <w:rPr>
                <w:color w:val="000000"/>
                <w:sz w:val="24"/>
                <w:szCs w:val="24"/>
              </w:rPr>
              <w:t>14,600,000.00</w:t>
            </w:r>
          </w:p>
        </w:tc>
        <w:tc>
          <w:tcPr>
            <w:vAlign w:val="center"/>
          </w:tcPr>
          <w:p>
            <w:pPr>
              <w:jc w:val="right"/>
            </w:pPr>
            <w:r>
              <w:rPr>
                <w:color w:val="000000"/>
                <w:sz w:val="24"/>
                <w:szCs w:val="24"/>
              </w:rPr>
              <w:t>3.44</w:t>
            </w:r>
          </w:p>
        </w:tc>
      </w:tr>
      <w:tr>
        <w:tc>
          <w:tcPr>
            <w:vAlign w:val="center"/>
          </w:tcPr>
          <w:p>
            <w:pPr>
              <w:jc w:val="center"/>
            </w:pPr>
            <w:r>
              <w:rPr>
                <w:color w:val="000000"/>
                <w:sz w:val="24"/>
                <w:szCs w:val="24"/>
              </w:rPr>
              <w:t>7</w:t>
            </w:r>
          </w:p>
        </w:tc>
        <w:tc>
          <w:tcPr>
            <w:vAlign w:val="center"/>
          </w:tcPr>
          <w:p>
            <w:pPr>
              <w:jc w:val="center"/>
            </w:pPr>
            <w:r>
              <w:rPr>
                <w:color w:val="000000"/>
                <w:sz w:val="24"/>
                <w:szCs w:val="24"/>
              </w:rPr>
              <w:t>02313.HK</w:t>
            </w:r>
          </w:p>
        </w:tc>
        <w:tc>
          <w:tcPr>
            <w:vAlign w:val="center"/>
          </w:tcPr>
          <w:p>
            <w:pPr>
              <w:jc w:val="center"/>
            </w:pPr>
            <w:r>
              <w:rPr>
                <w:color w:val="000000"/>
                <w:sz w:val="24"/>
                <w:szCs w:val="24"/>
              </w:rPr>
              <w:t>申洲国际</w:t>
            </w:r>
          </w:p>
        </w:tc>
        <w:tc>
          <w:tcPr>
            <w:vAlign w:val="center"/>
          </w:tcPr>
          <w:p>
            <w:pPr>
              <w:jc w:val="right"/>
            </w:pPr>
            <w:r>
              <w:rPr>
                <w:color w:val="000000"/>
                <w:sz w:val="24"/>
                <w:szCs w:val="24"/>
              </w:rPr>
              <w:t>140,000</w:t>
            </w:r>
          </w:p>
        </w:tc>
        <w:tc>
          <w:tcPr>
            <w:vAlign w:val="center"/>
          </w:tcPr>
          <w:p>
            <w:pPr>
              <w:jc w:val="right"/>
            </w:pPr>
            <w:r>
              <w:rPr>
                <w:color w:val="000000"/>
                <w:sz w:val="24"/>
                <w:szCs w:val="24"/>
              </w:rPr>
              <w:t>14,284,107.88</w:t>
            </w:r>
          </w:p>
        </w:tc>
        <w:tc>
          <w:tcPr>
            <w:vAlign w:val="center"/>
          </w:tcPr>
          <w:p>
            <w:pPr>
              <w:jc w:val="right"/>
            </w:pPr>
            <w:r>
              <w:rPr>
                <w:color w:val="000000"/>
                <w:sz w:val="24"/>
                <w:szCs w:val="24"/>
              </w:rPr>
              <w:t>3.36</w:t>
            </w:r>
          </w:p>
        </w:tc>
      </w:tr>
      <w:tr>
        <w:tc>
          <w:tcPr>
            <w:vAlign w:val="center"/>
          </w:tcPr>
          <w:p>
            <w:pPr>
              <w:jc w:val="center"/>
            </w:pPr>
            <w:r>
              <w:rPr>
                <w:color w:val="000000"/>
                <w:sz w:val="24"/>
                <w:szCs w:val="24"/>
              </w:rPr>
              <w:t>8</w:t>
            </w:r>
          </w:p>
        </w:tc>
        <w:tc>
          <w:tcPr>
            <w:vAlign w:val="center"/>
          </w:tcPr>
          <w:p>
            <w:pPr>
              <w:jc w:val="center"/>
            </w:pPr>
            <w:r>
              <w:rPr>
                <w:color w:val="000000"/>
                <w:sz w:val="24"/>
                <w:szCs w:val="24"/>
              </w:rPr>
              <w:t>01109.HK</w:t>
            </w:r>
          </w:p>
        </w:tc>
        <w:tc>
          <w:tcPr>
            <w:vAlign w:val="center"/>
          </w:tcPr>
          <w:p>
            <w:pPr>
              <w:jc w:val="center"/>
            </w:pPr>
            <w:r>
              <w:rPr>
                <w:color w:val="000000"/>
                <w:sz w:val="24"/>
                <w:szCs w:val="24"/>
              </w:rPr>
              <w:t>华润置地</w:t>
            </w:r>
          </w:p>
        </w:tc>
        <w:tc>
          <w:tcPr>
            <w:vAlign w:val="center"/>
          </w:tcPr>
          <w:p>
            <w:pPr>
              <w:jc w:val="right"/>
            </w:pPr>
            <w:r>
              <w:rPr>
                <w:color w:val="000000"/>
                <w:sz w:val="24"/>
                <w:szCs w:val="24"/>
              </w:rPr>
              <w:t>400,000</w:t>
            </w:r>
          </w:p>
        </w:tc>
        <w:tc>
          <w:tcPr>
            <w:vAlign w:val="center"/>
          </w:tcPr>
          <w:p>
            <w:pPr>
              <w:jc w:val="right"/>
            </w:pPr>
            <w:r>
              <w:rPr>
                <w:color w:val="000000"/>
                <w:sz w:val="24"/>
                <w:szCs w:val="24"/>
              </w:rPr>
              <w:t>13,902,505.60</w:t>
            </w:r>
          </w:p>
        </w:tc>
        <w:tc>
          <w:tcPr>
            <w:vAlign w:val="center"/>
          </w:tcPr>
          <w:p>
            <w:pPr>
              <w:jc w:val="right"/>
            </w:pPr>
            <w:r>
              <w:rPr>
                <w:color w:val="000000"/>
                <w:sz w:val="24"/>
                <w:szCs w:val="24"/>
              </w:rPr>
              <w:t>3.27</w:t>
            </w:r>
          </w:p>
        </w:tc>
      </w:tr>
      <w:tr>
        <w:tc>
          <w:tcPr>
            <w:vAlign w:val="center"/>
          </w:tcPr>
          <w:p>
            <w:pPr>
              <w:jc w:val="center"/>
            </w:pPr>
            <w:r>
              <w:rPr>
                <w:color w:val="000000"/>
                <w:sz w:val="24"/>
                <w:szCs w:val="24"/>
              </w:rPr>
              <w:t>9</w:t>
            </w:r>
          </w:p>
        </w:tc>
        <w:tc>
          <w:tcPr>
            <w:vAlign w:val="center"/>
          </w:tcPr>
          <w:p>
            <w:pPr>
              <w:jc w:val="center"/>
            </w:pPr>
            <w:r>
              <w:rPr>
                <w:color w:val="000000"/>
                <w:sz w:val="24"/>
                <w:szCs w:val="24"/>
              </w:rPr>
              <w:t>002439</w:t>
            </w:r>
          </w:p>
        </w:tc>
        <w:tc>
          <w:tcPr>
            <w:vAlign w:val="center"/>
          </w:tcPr>
          <w:p>
            <w:pPr>
              <w:jc w:val="center"/>
            </w:pPr>
            <w:r>
              <w:rPr>
                <w:color w:val="000000"/>
                <w:sz w:val="24"/>
                <w:szCs w:val="24"/>
              </w:rPr>
              <w:t>启明星辰</w:t>
            </w:r>
          </w:p>
        </w:tc>
        <w:tc>
          <w:tcPr>
            <w:vAlign w:val="center"/>
          </w:tcPr>
          <w:p>
            <w:pPr>
              <w:jc w:val="right"/>
            </w:pPr>
            <w:r>
              <w:rPr>
                <w:color w:val="000000"/>
                <w:sz w:val="24"/>
                <w:szCs w:val="24"/>
              </w:rPr>
              <w:t>399,920</w:t>
            </w:r>
          </w:p>
        </w:tc>
        <w:tc>
          <w:tcPr>
            <w:vAlign w:val="center"/>
          </w:tcPr>
          <w:p>
            <w:pPr>
              <w:jc w:val="right"/>
            </w:pPr>
            <w:r>
              <w:rPr>
                <w:color w:val="000000"/>
                <w:sz w:val="24"/>
                <w:szCs w:val="24"/>
              </w:rPr>
              <w:t>13,517,296.00</w:t>
            </w:r>
          </w:p>
        </w:tc>
        <w:tc>
          <w:tcPr>
            <w:vAlign w:val="center"/>
          </w:tcPr>
          <w:p>
            <w:pPr>
              <w:jc w:val="right"/>
            </w:pPr>
            <w:r>
              <w:rPr>
                <w:color w:val="000000"/>
                <w:sz w:val="24"/>
                <w:szCs w:val="24"/>
              </w:rPr>
              <w:t>3.18</w:t>
            </w:r>
          </w:p>
        </w:tc>
      </w:tr>
      <w:tr>
        <w:tc>
          <w:tcPr>
            <w:vAlign w:val="center"/>
          </w:tcPr>
          <w:p>
            <w:pPr>
              <w:jc w:val="center"/>
            </w:pPr>
            <w:r>
              <w:rPr>
                <w:color w:val="000000"/>
                <w:sz w:val="24"/>
                <w:szCs w:val="24"/>
              </w:rPr>
              <w:t>10</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500,000</w:t>
            </w:r>
          </w:p>
        </w:tc>
        <w:tc>
          <w:tcPr>
            <w:vAlign w:val="center"/>
          </w:tcPr>
          <w:p>
            <w:pPr>
              <w:jc w:val="right"/>
            </w:pPr>
            <w:r>
              <w:rPr>
                <w:color w:val="000000"/>
                <w:sz w:val="24"/>
                <w:szCs w:val="24"/>
              </w:rPr>
              <w:t>13,465,000.00</w:t>
            </w:r>
          </w:p>
        </w:tc>
        <w:tc>
          <w:tcPr>
            <w:vAlign w:val="center"/>
          </w:tcPr>
          <w:p>
            <w:pPr>
              <w:jc w:val="right"/>
            </w:pPr>
            <w:r>
              <w:rPr>
                <w:color w:val="000000"/>
                <w:sz w:val="24"/>
                <w:szCs w:val="24"/>
              </w:rPr>
              <w:t>3.17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20,032,000.00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20,032,000.00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20,032,000.00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200,000</w:t>
            </w:r>
          </w:p>
        </w:tc>
        <w:tc>
          <w:tcPr>
            <w:vAlign w:val="center"/>
          </w:tcPr>
          <w:p>
            <w:pPr>
              <w:jc w:val="right"/>
            </w:pPr>
            <w:r>
              <w:rPr>
                <w:color w:val="000000"/>
                <w:sz w:val="24"/>
                <w:szCs w:val="24"/>
              </w:rPr>
              <w:t>20,032,000.00</w:t>
            </w:r>
          </w:p>
        </w:tc>
        <w:tc>
          <w:tcPr>
            <w:vAlign w:val="center"/>
          </w:tcPr>
          <w:p>
            <w:pPr>
              <w:jc w:val="right"/>
            </w:pPr>
            <w:r>
              <w:rPr>
                <w:color w:val="000000"/>
                <w:sz w:val="24"/>
                <w:szCs w:val="24"/>
              </w:rPr>
              <w:t>4.72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401,755.60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4,436,811.36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380,353.70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58,078.49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5,276,999.15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357,405,201.18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3,521,806.20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38,329,437.21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322,597,570.17</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2019/10/1-2019/12/31</w:t>
            </w:r>
          </w:p>
        </w:tc>
        <w:tc>
          <w:tcPr>
            <w:vAlign w:val="center"/>
          </w:tcPr>
          <w:p>
            <w:pPr>
              <w:jc w:val="center"/>
            </w:pPr>
            <w:r>
              <w:rPr>
                <w:rFonts w:ascii="宋体" w:hAnsi="宋体"/>
                <w:color w:val="000000"/>
                <w:kern w:val="0"/>
              </w:rPr>
              <w:t>130,498,545.17</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130,498,545.17</w:t>
            </w:r>
          </w:p>
        </w:tc>
        <w:tc>
          <w:tcPr>
            <w:vAlign w:val="center"/>
          </w:tcPr>
          <w:p>
            <w:pPr>
              <w:jc w:val="center"/>
            </w:pPr>
            <w:r>
              <w:rPr>
                <w:rFonts w:ascii="宋体" w:hAnsi="宋体"/>
                <w:color w:val="000000"/>
                <w:kern w:val="0"/>
              </w:rPr>
              <w:t>40.45%</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2019/10/1-2019/12/31</w:t>
            </w:r>
          </w:p>
        </w:tc>
        <w:tc>
          <w:tcPr>
            <w:vAlign w:val="center"/>
          </w:tcPr>
          <w:p>
            <w:pPr>
              <w:jc w:val="center"/>
            </w:pPr>
            <w:r>
              <w:rPr>
                <w:rFonts w:ascii="宋体" w:hAnsi="宋体"/>
                <w:color w:val="000000"/>
                <w:kern w:val="0"/>
              </w:rPr>
              <w:t>66,993,386.51</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66,993,386.51</w:t>
            </w:r>
          </w:p>
        </w:tc>
        <w:tc>
          <w:tcPr>
            <w:vAlign w:val="center"/>
          </w:tcPr>
          <w:p>
            <w:pPr>
              <w:jc w:val="center"/>
            </w:pPr>
            <w:r>
              <w:rPr>
                <w:rFonts w:ascii="宋体" w:hAnsi="宋体"/>
                <w:color w:val="000000"/>
                <w:kern w:val="0"/>
              </w:rPr>
              <w:t>20.77%</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1、中国证监会准予交银施罗德沪港深价值精选灵活配置混合型证券投资基金募集注册的文件；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2、《交银施罗德沪港深价值精选灵活配置混合型证券投资基金基金合同》；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3、《交银施罗德沪港深价值精选灵活配置混合型证券投资基金招募说明书》；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4、《交银施罗德沪港深价值精选灵活配置混合型证券投资基金托管协议》；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5、关于申请募集注册交银施罗德沪港深价值精选灵活配置混合型证券投资基金的法律意见书；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8、报告期内交银施罗德沪港深价值精选灵活配置混合型证券投资基金在指定报刊上各项公告的原稿。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交银施罗德沪港深价值精选灵活配置混合型证券投资基金2019年第4季度报告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