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交银施罗德股息优化混合型证券投资基金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交银股息优化混合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004868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004868</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2017年8月25日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239,379,117.77</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本基金主要投资于具有稳定股息收益的优质成长性上市公司，以稳健收益为目标，追求长期的资产增值。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6,787,612.05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18,225,279.04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0.0685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327,223,348.03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1.3670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5.66%</w:t>
            </w:r>
          </w:p>
        </w:tc>
        <w:tc>
          <w:tcPr>
            <w:vAlign w:val="center"/>
          </w:tcPr>
          <w:p>
            <w:pPr>
              <w:jc w:val="center"/>
            </w:pPr>
            <w:r>
              <w:rPr>
                <w:color w:val="000000"/>
                <w:sz w:val="24"/>
                <w:szCs w:val="24"/>
              </w:rPr>
              <w:t>0.79%</w:t>
            </w:r>
          </w:p>
        </w:tc>
        <w:tc>
          <w:tcPr>
            <w:vAlign w:val="center"/>
          </w:tcPr>
          <w:p>
            <w:pPr>
              <w:jc w:val="center"/>
            </w:pPr>
            <w:r>
              <w:rPr>
                <w:color w:val="000000"/>
                <w:sz w:val="24"/>
                <w:szCs w:val="24"/>
              </w:rPr>
              <w:t>4.92%</w:t>
            </w:r>
          </w:p>
        </w:tc>
        <w:tc>
          <w:tcPr>
            <w:vAlign w:val="center"/>
          </w:tcPr>
          <w:p>
            <w:pPr>
              <w:jc w:val="center"/>
            </w:pPr>
            <w:r>
              <w:rPr>
                <w:color w:val="000000"/>
                <w:sz w:val="24"/>
                <w:szCs w:val="24"/>
              </w:rPr>
              <w:t>0.44%</w:t>
            </w:r>
          </w:p>
        </w:tc>
        <w:tc>
          <w:tcPr>
            <w:vAlign w:val="center"/>
          </w:tcPr>
          <w:p>
            <w:pPr>
              <w:jc w:val="center"/>
            </w:pPr>
            <w:r>
              <w:rPr>
                <w:color w:val="000000"/>
                <w:sz w:val="24"/>
                <w:szCs w:val="24"/>
              </w:rPr>
              <w:t>0.74%</w:t>
            </w:r>
          </w:p>
        </w:tc>
        <w:tc>
          <w:tcPr>
            <w:vAlign w:val="center"/>
          </w:tcPr>
          <w:p>
            <w:pPr>
              <w:jc w:val="center"/>
            </w:pPr>
            <w:r>
              <w:rPr>
                <w:color w:val="000000"/>
                <w:sz w:val="24"/>
                <w:szCs w:val="24"/>
              </w:rPr>
              <w:t>0.35%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交银施罗德股息优化混合型证券投资基金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2017年8月25日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交银趋势混合、交银策略回报灵活配置混合、交银消费新驱动股票、交银股息优化混合、交银品质升级混合的基金经理</w:t>
            </w:r>
          </w:p>
        </w:tc>
        <w:tc>
          <w:tcPr>
            <w:vAlign w:val="center"/>
          </w:tcPr>
          <w:p>
            <w:pPr>
              <w:jc w:val="center"/>
            </w:pPr>
            <w:r>
              <w:rPr>
                <w:color w:val="000000"/>
                <w:sz w:val="24"/>
                <w:szCs w:val="24"/>
              </w:rPr>
              <w:t>2017-08-25</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2019年四季度，中美贸易战暂已告一段落，也没有出现更为严峻的趋势。利率市场化以后，整个长端利率水平开始出现下行趋势，市场风险偏好明显提升。随着中国市场逐步纳入MSCI，外资整体占比快速提升，国内股票市场的定价方法和估值水平受到了较大的影响，后续的变化也是国内投资者更为重视的环节。2019年12月以来，金融创新逐渐加大，对冲机制、注册制以及国有企业股权改革等相关创新手段的逐步完善，海外价值投资和对冲基金还将进一步增加中国资产的投资。</w:t>
      </w:r>
    </w:p>
    <w:p>
      <w:pPr>
        <w:spacing w:before="29" w:line="288" w:lineRule="auto"/>
        <w:ind w:firstLine="480" w:firstLineChars="200"/>
        <w:rPr>
          <w:color w:val="000000"/>
          <w:sz w:val="24"/>
          <w:szCs w:val="24"/>
        </w:rPr>
      </w:pPr>
      <w:r>
        <w:rPr>
          <w:color w:val="000000"/>
          <w:sz w:val="24"/>
          <w:szCs w:val="24"/>
        </w:rPr>
        <w:t>本基金在2019年四季度主要以消费白马龙头作为底仓的配置思路，个股集中度依然维持在较高水平。重仓股做了适当的调整，增持了啤酒、医药创新和地产行业的相关个股，获得一定绝对收益，但相对收益不明显。</w:t>
      </w:r>
    </w:p>
    <w:p>
      <w:pPr>
        <w:spacing w:before="29" w:line="288" w:lineRule="auto"/>
        <w:ind w:firstLine="480" w:firstLineChars="200"/>
        <w:rPr>
          <w:color w:val="000000"/>
          <w:sz w:val="24"/>
          <w:szCs w:val="24"/>
        </w:rPr>
      </w:pPr>
      <w:r>
        <w:rPr>
          <w:color w:val="000000"/>
          <w:sz w:val="24"/>
          <w:szCs w:val="24"/>
        </w:rPr>
        <w:t>展望2020年一季度，随着长端利率进一步下行，外资配置比例提高，整个市场的流动性会继续改善，未来市场或将进入稳定的长期上涨周期。但是，由于宏观经济增速放缓，各个行业的增速也出现比较明显的放缓，个股基本面分化会更加明显，市场波动率会进一步加大。整个市场风险目前已上升到较高水平，同时部分行业和公司在2019年估值水平上升比较明显，我们将关注一季度整体高估值行业的风险。</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本基金在2020年一季度将保持消费白马和地产作为底仓的配置思路，择机适度增加银行、地产以及医药的配置比例。</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298,522,978.93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90.78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298,522,978.93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90.78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26,302,346.16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8.00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4,010,097.65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328,835,422.74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244,247,171.55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74.64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11,307,554.00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32,633,233.70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9.97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583,105.28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6,451,806.40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3,300,108.00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298,522,978.93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91.23</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25,406</w:t>
            </w:r>
          </w:p>
        </w:tc>
        <w:tc>
          <w:tcPr>
            <w:vAlign w:val="center"/>
          </w:tcPr>
          <w:p>
            <w:pPr>
              <w:jc w:val="right"/>
            </w:pPr>
            <w:r>
              <w:rPr>
                <w:color w:val="000000"/>
                <w:sz w:val="24"/>
                <w:szCs w:val="24"/>
              </w:rPr>
              <w:t>30,055,298.00</w:t>
            </w:r>
          </w:p>
        </w:tc>
        <w:tc>
          <w:tcPr>
            <w:vAlign w:val="center"/>
          </w:tcPr>
          <w:p>
            <w:pPr>
              <w:jc w:val="right"/>
            </w:pPr>
            <w:r>
              <w:rPr>
                <w:color w:val="000000"/>
                <w:sz w:val="24"/>
                <w:szCs w:val="24"/>
              </w:rPr>
              <w:t>9.18</w:t>
            </w:r>
          </w:p>
        </w:tc>
      </w:tr>
      <w:tr>
        <w:tc>
          <w:tcPr>
            <w:vAlign w:val="center"/>
          </w:tcPr>
          <w:p>
            <w:pPr>
              <w:jc w:val="center"/>
            </w:pPr>
            <w:r>
              <w:rPr>
                <w:color w:val="000000"/>
                <w:sz w:val="24"/>
                <w:szCs w:val="24"/>
              </w:rPr>
              <w:t>2</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1,802,631</w:t>
            </w:r>
          </w:p>
        </w:tc>
        <w:tc>
          <w:tcPr>
            <w:vAlign w:val="center"/>
          </w:tcPr>
          <w:p>
            <w:pPr>
              <w:jc w:val="right"/>
            </w:pPr>
            <w:r>
              <w:rPr>
                <w:color w:val="000000"/>
                <w:sz w:val="24"/>
                <w:szCs w:val="24"/>
              </w:rPr>
              <w:t>29,364,858.99</w:t>
            </w:r>
          </w:p>
        </w:tc>
        <w:tc>
          <w:tcPr>
            <w:vAlign w:val="center"/>
          </w:tcPr>
          <w:p>
            <w:pPr>
              <w:jc w:val="right"/>
            </w:pPr>
            <w:r>
              <w:rPr>
                <w:color w:val="000000"/>
                <w:sz w:val="24"/>
                <w:szCs w:val="24"/>
              </w:rPr>
              <w:t>8.97</w:t>
            </w:r>
          </w:p>
        </w:tc>
      </w:tr>
      <w:tr>
        <w:tc>
          <w:tcPr>
            <w:vAlign w:val="center"/>
          </w:tcPr>
          <w:p>
            <w:pPr>
              <w:jc w:val="center"/>
            </w:pPr>
            <w:r>
              <w:rPr>
                <w:color w:val="000000"/>
                <w:sz w:val="24"/>
                <w:szCs w:val="24"/>
              </w:rPr>
              <w:t>3</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220,270</w:t>
            </w:r>
          </w:p>
        </w:tc>
        <w:tc>
          <w:tcPr>
            <w:vAlign w:val="center"/>
          </w:tcPr>
          <w:p>
            <w:pPr>
              <w:jc w:val="right"/>
            </w:pPr>
            <w:r>
              <w:rPr>
                <w:color w:val="000000"/>
                <w:sz w:val="24"/>
                <w:szCs w:val="24"/>
              </w:rPr>
              <w:t>29,298,112.70</w:t>
            </w:r>
          </w:p>
        </w:tc>
        <w:tc>
          <w:tcPr>
            <w:vAlign w:val="center"/>
          </w:tcPr>
          <w:p>
            <w:pPr>
              <w:jc w:val="right"/>
            </w:pPr>
            <w:r>
              <w:rPr>
                <w:color w:val="000000"/>
                <w:sz w:val="24"/>
                <w:szCs w:val="24"/>
              </w:rPr>
              <w:t>8.95</w:t>
            </w:r>
          </w:p>
        </w:tc>
      </w:tr>
      <w:tr>
        <w:tc>
          <w:tcPr>
            <w:vAlign w:val="center"/>
          </w:tcPr>
          <w:p>
            <w:pPr>
              <w:jc w:val="center"/>
            </w:pPr>
            <w:r>
              <w:rPr>
                <w:color w:val="000000"/>
                <w:sz w:val="24"/>
                <w:szCs w:val="24"/>
              </w:rPr>
              <w:t>4</w:t>
            </w:r>
          </w:p>
        </w:tc>
        <w:tc>
          <w:tcPr>
            <w:vAlign w:val="center"/>
          </w:tcPr>
          <w:p>
            <w:pPr>
              <w:jc w:val="center"/>
            </w:pPr>
            <w:r>
              <w:rPr>
                <w:color w:val="000000"/>
                <w:sz w:val="24"/>
                <w:szCs w:val="24"/>
              </w:rPr>
              <w:t>603369</w:t>
            </w:r>
          </w:p>
        </w:tc>
        <w:tc>
          <w:tcPr>
            <w:vAlign w:val="center"/>
          </w:tcPr>
          <w:p>
            <w:pPr>
              <w:jc w:val="center"/>
            </w:pPr>
            <w:r>
              <w:rPr>
                <w:color w:val="000000"/>
                <w:sz w:val="24"/>
                <w:szCs w:val="24"/>
              </w:rPr>
              <w:t>今世缘</w:t>
            </w:r>
          </w:p>
        </w:tc>
        <w:tc>
          <w:tcPr>
            <w:vAlign w:val="center"/>
          </w:tcPr>
          <w:p>
            <w:pPr>
              <w:jc w:val="right"/>
            </w:pPr>
            <w:r>
              <w:rPr>
                <w:color w:val="000000"/>
                <w:sz w:val="24"/>
                <w:szCs w:val="24"/>
              </w:rPr>
              <w:t>864,226</w:t>
            </w:r>
          </w:p>
        </w:tc>
        <w:tc>
          <w:tcPr>
            <w:vAlign w:val="center"/>
          </w:tcPr>
          <w:p>
            <w:pPr>
              <w:jc w:val="right"/>
            </w:pPr>
            <w:r>
              <w:rPr>
                <w:color w:val="000000"/>
                <w:sz w:val="24"/>
                <w:szCs w:val="24"/>
              </w:rPr>
              <w:t>28,277,474.72</w:t>
            </w:r>
          </w:p>
        </w:tc>
        <w:tc>
          <w:tcPr>
            <w:vAlign w:val="center"/>
          </w:tcPr>
          <w:p>
            <w:pPr>
              <w:jc w:val="right"/>
            </w:pPr>
            <w:r>
              <w:rPr>
                <w:color w:val="000000"/>
                <w:sz w:val="24"/>
                <w:szCs w:val="24"/>
              </w:rPr>
              <w:t>8.64</w:t>
            </w:r>
          </w:p>
        </w:tc>
      </w:tr>
      <w:tr>
        <w:tc>
          <w:tcPr>
            <w:vAlign w:val="center"/>
          </w:tcPr>
          <w:p>
            <w:pPr>
              <w:jc w:val="center"/>
            </w:pPr>
            <w:r>
              <w:rPr>
                <w:color w:val="000000"/>
                <w:sz w:val="24"/>
                <w:szCs w:val="24"/>
              </w:rPr>
              <w:t>5</w:t>
            </w:r>
          </w:p>
        </w:tc>
        <w:tc>
          <w:tcPr>
            <w:vAlign w:val="center"/>
          </w:tcPr>
          <w:p>
            <w:pPr>
              <w:jc w:val="center"/>
            </w:pPr>
            <w:r>
              <w:rPr>
                <w:color w:val="000000"/>
                <w:sz w:val="24"/>
                <w:szCs w:val="24"/>
              </w:rPr>
              <w:t>600132</w:t>
            </w:r>
          </w:p>
        </w:tc>
        <w:tc>
          <w:tcPr>
            <w:vAlign w:val="center"/>
          </w:tcPr>
          <w:p>
            <w:pPr>
              <w:jc w:val="center"/>
            </w:pPr>
            <w:r>
              <w:rPr>
                <w:color w:val="000000"/>
                <w:sz w:val="24"/>
                <w:szCs w:val="24"/>
              </w:rPr>
              <w:t>重庆啤酒</w:t>
            </w:r>
          </w:p>
        </w:tc>
        <w:tc>
          <w:tcPr>
            <w:vAlign w:val="center"/>
          </w:tcPr>
          <w:p>
            <w:pPr>
              <w:jc w:val="right"/>
            </w:pPr>
            <w:r>
              <w:rPr>
                <w:color w:val="000000"/>
                <w:sz w:val="24"/>
                <w:szCs w:val="24"/>
              </w:rPr>
              <w:t>444,320</w:t>
            </w:r>
          </w:p>
        </w:tc>
        <w:tc>
          <w:tcPr>
            <w:vAlign w:val="center"/>
          </w:tcPr>
          <w:p>
            <w:pPr>
              <w:jc w:val="right"/>
            </w:pPr>
            <w:r>
              <w:rPr>
                <w:color w:val="000000"/>
                <w:sz w:val="24"/>
                <w:szCs w:val="24"/>
              </w:rPr>
              <w:t>23,086,867.20</w:t>
            </w:r>
          </w:p>
        </w:tc>
        <w:tc>
          <w:tcPr>
            <w:vAlign w:val="center"/>
          </w:tcPr>
          <w:p>
            <w:pPr>
              <w:jc w:val="right"/>
            </w:pPr>
            <w:r>
              <w:rPr>
                <w:color w:val="000000"/>
                <w:sz w:val="24"/>
                <w:szCs w:val="24"/>
              </w:rPr>
              <w:t>7.06</w:t>
            </w:r>
          </w:p>
        </w:tc>
      </w:tr>
      <w:tr>
        <w:tc>
          <w:tcPr>
            <w:vAlign w:val="center"/>
          </w:tcPr>
          <w:p>
            <w:pPr>
              <w:jc w:val="center"/>
            </w:pPr>
            <w:r>
              <w:rPr>
                <w:color w:val="000000"/>
                <w:sz w:val="24"/>
                <w:szCs w:val="24"/>
              </w:rPr>
              <w:t>6</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584,941</w:t>
            </w:r>
          </w:p>
        </w:tc>
        <w:tc>
          <w:tcPr>
            <w:vAlign w:val="center"/>
          </w:tcPr>
          <w:p>
            <w:pPr>
              <w:jc w:val="right"/>
            </w:pPr>
            <w:r>
              <w:rPr>
                <w:color w:val="000000"/>
                <w:sz w:val="24"/>
                <w:szCs w:val="24"/>
              </w:rPr>
              <w:t>18,098,074.54</w:t>
            </w:r>
          </w:p>
        </w:tc>
        <w:tc>
          <w:tcPr>
            <w:vAlign w:val="center"/>
          </w:tcPr>
          <w:p>
            <w:pPr>
              <w:jc w:val="right"/>
            </w:pPr>
            <w:r>
              <w:rPr>
                <w:color w:val="000000"/>
                <w:sz w:val="24"/>
                <w:szCs w:val="24"/>
              </w:rPr>
              <w:t>5.53</w:t>
            </w:r>
          </w:p>
        </w:tc>
      </w:tr>
      <w:tr>
        <w:tc>
          <w:tcPr>
            <w:vAlign w:val="center"/>
          </w:tcPr>
          <w:p>
            <w:pPr>
              <w:jc w:val="center"/>
            </w:pPr>
            <w:r>
              <w:rPr>
                <w:color w:val="000000"/>
                <w:sz w:val="24"/>
                <w:szCs w:val="24"/>
              </w:rPr>
              <w:t>7</w:t>
            </w:r>
          </w:p>
        </w:tc>
        <w:tc>
          <w:tcPr>
            <w:vAlign w:val="center"/>
          </w:tcPr>
          <w:p>
            <w:pPr>
              <w:jc w:val="center"/>
            </w:pPr>
            <w:r>
              <w:rPr>
                <w:color w:val="000000"/>
                <w:sz w:val="24"/>
                <w:szCs w:val="24"/>
              </w:rPr>
              <w:t>002461</w:t>
            </w:r>
          </w:p>
        </w:tc>
        <w:tc>
          <w:tcPr>
            <w:vAlign w:val="center"/>
          </w:tcPr>
          <w:p>
            <w:pPr>
              <w:jc w:val="center"/>
            </w:pPr>
            <w:r>
              <w:rPr>
                <w:color w:val="000000"/>
                <w:sz w:val="24"/>
                <w:szCs w:val="24"/>
              </w:rPr>
              <w:t>珠江啤酒</w:t>
            </w:r>
          </w:p>
        </w:tc>
        <w:tc>
          <w:tcPr>
            <w:vAlign w:val="center"/>
          </w:tcPr>
          <w:p>
            <w:pPr>
              <w:jc w:val="right"/>
            </w:pPr>
            <w:r>
              <w:rPr>
                <w:color w:val="000000"/>
                <w:sz w:val="24"/>
                <w:szCs w:val="24"/>
              </w:rPr>
              <w:t>2,382,100</w:t>
            </w:r>
          </w:p>
        </w:tc>
        <w:tc>
          <w:tcPr>
            <w:vAlign w:val="center"/>
          </w:tcPr>
          <w:p>
            <w:pPr>
              <w:jc w:val="right"/>
            </w:pPr>
            <w:r>
              <w:rPr>
                <w:color w:val="000000"/>
                <w:sz w:val="24"/>
                <w:szCs w:val="24"/>
              </w:rPr>
              <w:t>17,008,194.00</w:t>
            </w:r>
          </w:p>
        </w:tc>
        <w:tc>
          <w:tcPr>
            <w:vAlign w:val="center"/>
          </w:tcPr>
          <w:p>
            <w:pPr>
              <w:jc w:val="right"/>
            </w:pPr>
            <w:r>
              <w:rPr>
                <w:color w:val="000000"/>
                <w:sz w:val="24"/>
                <w:szCs w:val="24"/>
              </w:rPr>
              <w:t>5.20</w:t>
            </w:r>
          </w:p>
        </w:tc>
      </w:tr>
      <w:tr>
        <w:tc>
          <w:tcPr>
            <w:vAlign w:val="center"/>
          </w:tcPr>
          <w:p>
            <w:pPr>
              <w:jc w:val="center"/>
            </w:pPr>
            <w:r>
              <w:rPr>
                <w:color w:val="000000"/>
                <w:sz w:val="24"/>
                <w:szCs w:val="24"/>
              </w:rPr>
              <w:t>8</w:t>
            </w:r>
          </w:p>
        </w:tc>
        <w:tc>
          <w:tcPr>
            <w:vAlign w:val="center"/>
          </w:tcPr>
          <w:p>
            <w:pPr>
              <w:jc w:val="center"/>
            </w:pPr>
            <w:r>
              <w:rPr>
                <w:color w:val="000000"/>
                <w:sz w:val="24"/>
                <w:szCs w:val="24"/>
              </w:rPr>
              <w:t>600600</w:t>
            </w:r>
          </w:p>
        </w:tc>
        <w:tc>
          <w:tcPr>
            <w:vAlign w:val="center"/>
          </w:tcPr>
          <w:p>
            <w:pPr>
              <w:jc w:val="center"/>
            </w:pPr>
            <w:r>
              <w:rPr>
                <w:color w:val="000000"/>
                <w:sz w:val="24"/>
                <w:szCs w:val="24"/>
              </w:rPr>
              <w:t>青岛啤酒</w:t>
            </w:r>
          </w:p>
        </w:tc>
        <w:tc>
          <w:tcPr>
            <w:vAlign w:val="center"/>
          </w:tcPr>
          <w:p>
            <w:pPr>
              <w:jc w:val="right"/>
            </w:pPr>
            <w:r>
              <w:rPr>
                <w:color w:val="000000"/>
                <w:sz w:val="24"/>
                <w:szCs w:val="24"/>
              </w:rPr>
              <w:t>318,610</w:t>
            </w:r>
          </w:p>
        </w:tc>
        <w:tc>
          <w:tcPr>
            <w:vAlign w:val="center"/>
          </w:tcPr>
          <w:p>
            <w:pPr>
              <w:jc w:val="right"/>
            </w:pPr>
            <w:r>
              <w:rPr>
                <w:color w:val="000000"/>
                <w:sz w:val="24"/>
                <w:szCs w:val="24"/>
              </w:rPr>
              <w:t>16,249,110.00</w:t>
            </w:r>
          </w:p>
        </w:tc>
        <w:tc>
          <w:tcPr>
            <w:vAlign w:val="center"/>
          </w:tcPr>
          <w:p>
            <w:pPr>
              <w:jc w:val="right"/>
            </w:pPr>
            <w:r>
              <w:rPr>
                <w:color w:val="000000"/>
                <w:sz w:val="24"/>
                <w:szCs w:val="24"/>
              </w:rPr>
              <w:t>4.97</w:t>
            </w:r>
          </w:p>
        </w:tc>
      </w:tr>
      <w:tr>
        <w:tc>
          <w:tcPr>
            <w:vAlign w:val="center"/>
          </w:tcPr>
          <w:p>
            <w:pPr>
              <w:jc w:val="center"/>
            </w:pPr>
            <w:r>
              <w:rPr>
                <w:color w:val="000000"/>
                <w:sz w:val="24"/>
                <w:szCs w:val="24"/>
              </w:rPr>
              <w:t>9</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243,917</w:t>
            </w:r>
          </w:p>
        </w:tc>
        <w:tc>
          <w:tcPr>
            <w:vAlign w:val="center"/>
          </w:tcPr>
          <w:p>
            <w:pPr>
              <w:jc w:val="right"/>
            </w:pPr>
            <w:r>
              <w:rPr>
                <w:color w:val="000000"/>
                <w:sz w:val="24"/>
                <w:szCs w:val="24"/>
              </w:rPr>
              <w:t>15,996,076.86</w:t>
            </w:r>
          </w:p>
        </w:tc>
        <w:tc>
          <w:tcPr>
            <w:vAlign w:val="center"/>
          </w:tcPr>
          <w:p>
            <w:pPr>
              <w:jc w:val="right"/>
            </w:pPr>
            <w:r>
              <w:rPr>
                <w:color w:val="000000"/>
                <w:sz w:val="24"/>
                <w:szCs w:val="24"/>
              </w:rPr>
              <w:t>4.89</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521,940</w:t>
            </w:r>
          </w:p>
        </w:tc>
        <w:tc>
          <w:tcPr>
            <w:vAlign w:val="center"/>
          </w:tcPr>
          <w:p>
            <w:pPr>
              <w:jc w:val="right"/>
            </w:pPr>
            <w:r>
              <w:rPr>
                <w:color w:val="000000"/>
                <w:sz w:val="24"/>
                <w:szCs w:val="24"/>
              </w:rPr>
              <w:t>14,426,421.60</w:t>
            </w:r>
          </w:p>
        </w:tc>
        <w:tc>
          <w:tcPr>
            <w:vAlign w:val="center"/>
          </w:tcPr>
          <w:p>
            <w:pPr>
              <w:jc w:val="right"/>
            </w:pPr>
            <w:r>
              <w:rPr>
                <w:color w:val="000000"/>
                <w:sz w:val="24"/>
                <w:szCs w:val="24"/>
              </w:rPr>
              <w:t>4.41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107,759.09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3,850,854.59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6,257.02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45,226.95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4,010,097.65</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255,568,367.62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30,884,603.91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47,073,853.76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239,379,117.77</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2019/10/1-2019/12/31</w:t>
            </w:r>
          </w:p>
        </w:tc>
        <w:tc>
          <w:tcPr>
            <w:vAlign w:val="center"/>
          </w:tcPr>
          <w:p>
            <w:pPr>
              <w:jc w:val="center"/>
            </w:pPr>
            <w:r>
              <w:rPr>
                <w:rFonts w:ascii="宋体" w:hAnsi="宋体"/>
                <w:color w:val="000000"/>
                <w:kern w:val="0"/>
              </w:rPr>
              <w:t>65,374,925.46</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65,374,925.46</w:t>
            </w:r>
          </w:p>
        </w:tc>
        <w:tc>
          <w:tcPr>
            <w:vAlign w:val="center"/>
          </w:tcPr>
          <w:p>
            <w:pPr>
              <w:jc w:val="center"/>
            </w:pPr>
            <w:r>
              <w:rPr>
                <w:rFonts w:ascii="宋体" w:hAnsi="宋体"/>
                <w:color w:val="000000"/>
                <w:kern w:val="0"/>
              </w:rPr>
              <w:t>27.31%</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8.2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1、中国证监会准予交银施罗德股息优化混合型证券投资基金募集注册的文件；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2、《交银施罗德股息优化混合型证券投资基金基金合同》；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3、《交银施罗德股息优化混合型证券投资基金招募说明书》；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4、《交银施罗德股息优化混合型证券投资基金托管协议》；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5、关于申请募集注册交银施罗德股息优化混合型证券投资基金的法律意见书；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8、报告期内交银施罗德股息优化混合型证券投资基金在指定报刊上各项公告的原稿。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交银施罗德股息优化混合型证券投资基金2019年第4季度报告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