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交银施罗德科技创新灵活配置混合型证券投资基金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2016年5月5日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181,564,565.22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13,789,495.34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13,311,788.93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0.0635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242,200,894.41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4.96%</w:t>
            </w:r>
          </w:p>
        </w:tc>
        <w:tc>
          <w:tcPr>
            <w:vAlign w:val="center"/>
          </w:tcPr>
          <w:p>
            <w:pPr>
              <w:jc w:val="center"/>
            </w:pPr>
            <w:r>
              <w:rPr>
                <w:color w:val="000000"/>
                <w:sz w:val="24"/>
                <w:szCs w:val="24"/>
              </w:rPr>
              <w:t>1.17%</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0.04%</w:t>
            </w:r>
          </w:p>
        </w:tc>
        <w:tc>
          <w:tcPr>
            <w:vAlign w:val="center"/>
          </w:tcPr>
          <w:p>
            <w:pPr>
              <w:jc w:val="center"/>
            </w:pPr>
            <w:r>
              <w:rPr>
                <w:color w:val="000000"/>
                <w:sz w:val="24"/>
                <w:szCs w:val="24"/>
              </w:rPr>
              <w:t>0.73%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交银施罗德科技创新灵活配置混合型证券投资基金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2016年5月5日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交银先锋混合、交银科技创新灵活配置混合的基金经理</w:t>
            </w:r>
          </w:p>
        </w:tc>
        <w:tc>
          <w:tcPr>
            <w:vAlign w:val="center"/>
          </w:tcPr>
          <w:p>
            <w:pPr>
              <w:jc w:val="center"/>
            </w:pPr>
            <w:r>
              <w:rPr>
                <w:color w:val="000000"/>
                <w:sz w:val="24"/>
                <w:szCs w:val="24"/>
              </w:rPr>
              <w:t>2016-05-05</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宏观经济进一步减速，但是由于猪肉价格高企带动CPI逐步向上，使得央行希望通过降准降息逆向调节经济的货币政策时点延后，同时市场对滞涨的担心有所提升。中美贸易达成第一阶段协议，短期市场风险偏好提升。2019年成长股涨幅巨大，我们认为未来市场会更加均衡，因此我们在四季度适当调整了组合使之更加均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展望2020年一季度，本基金预计市场面临整体风险不大，存在结构性机会。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224,693,782.71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224,693,782.71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10,013,000.00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10,013,000.00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9,133,247.13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1,651,513.81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0.67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245,491,543.65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95,925,296.22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88,556,167.49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15,601,477.00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11,209,504.00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9,294,338.00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4,107,000.00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224,693,782.71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92.77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1,627,434</w:t>
            </w:r>
          </w:p>
        </w:tc>
        <w:tc>
          <w:tcPr>
            <w:vAlign w:val="center"/>
          </w:tcPr>
          <w:p>
            <w:pPr>
              <w:jc w:val="right"/>
            </w:pPr>
            <w:r>
              <w:rPr>
                <w:color w:val="000000"/>
                <w:sz w:val="24"/>
                <w:szCs w:val="24"/>
              </w:rPr>
              <w:t>21,058,995.96</w:t>
            </w:r>
          </w:p>
        </w:tc>
        <w:tc>
          <w:tcPr>
            <w:vAlign w:val="center"/>
          </w:tcPr>
          <w:p>
            <w:pPr>
              <w:jc w:val="right"/>
            </w:pPr>
            <w:r>
              <w:rPr>
                <w:color w:val="000000"/>
                <w:sz w:val="24"/>
                <w:szCs w:val="24"/>
              </w:rPr>
              <w:t>8.69</w:t>
            </w:r>
          </w:p>
        </w:tc>
      </w:tr>
      <w:tr>
        <w:tc>
          <w:tcPr>
            <w:vAlign w:val="center"/>
          </w:tcPr>
          <w:p>
            <w:pPr>
              <w:jc w:val="center"/>
            </w:pPr>
            <w:r>
              <w:rPr>
                <w:color w:val="000000"/>
                <w:sz w:val="24"/>
                <w:szCs w:val="24"/>
              </w:rPr>
              <w:t>2</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436,731</w:t>
            </w:r>
          </w:p>
        </w:tc>
        <w:tc>
          <w:tcPr>
            <w:vAlign w:val="center"/>
          </w:tcPr>
          <w:p>
            <w:pPr>
              <w:jc w:val="right"/>
            </w:pPr>
            <w:r>
              <w:rPr>
                <w:color w:val="000000"/>
                <w:sz w:val="24"/>
                <w:szCs w:val="24"/>
              </w:rPr>
              <w:t>20,998,026.48</w:t>
            </w:r>
          </w:p>
        </w:tc>
        <w:tc>
          <w:tcPr>
            <w:vAlign w:val="center"/>
          </w:tcPr>
          <w:p>
            <w:pPr>
              <w:jc w:val="right"/>
            </w:pPr>
            <w:r>
              <w:rPr>
                <w:color w:val="000000"/>
                <w:sz w:val="24"/>
                <w:szCs w:val="24"/>
              </w:rPr>
              <w:t>8.67</w:t>
            </w:r>
          </w:p>
        </w:tc>
      </w:tr>
      <w:tr>
        <w:tc>
          <w:tcPr>
            <w:vAlign w:val="center"/>
          </w:tcPr>
          <w:p>
            <w:pPr>
              <w:jc w:val="center"/>
            </w:pPr>
            <w:r>
              <w:rPr>
                <w:color w:val="000000"/>
                <w:sz w:val="24"/>
                <w:szCs w:val="24"/>
              </w:rPr>
              <w:t>3</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703,716</w:t>
            </w:r>
          </w:p>
        </w:tc>
        <w:tc>
          <w:tcPr>
            <w:vAlign w:val="center"/>
          </w:tcPr>
          <w:p>
            <w:pPr>
              <w:jc w:val="right"/>
            </w:pPr>
            <w:r>
              <w:rPr>
                <w:color w:val="000000"/>
                <w:sz w:val="24"/>
                <w:szCs w:val="24"/>
              </w:rPr>
              <w:t>15,411,380.40</w:t>
            </w:r>
          </w:p>
        </w:tc>
        <w:tc>
          <w:tcPr>
            <w:vAlign w:val="center"/>
          </w:tcPr>
          <w:p>
            <w:pPr>
              <w:jc w:val="right"/>
            </w:pPr>
            <w:r>
              <w:rPr>
                <w:color w:val="000000"/>
                <w:sz w:val="24"/>
                <w:szCs w:val="24"/>
              </w:rPr>
              <w:t>6.36</w:t>
            </w:r>
          </w:p>
        </w:tc>
      </w:tr>
      <w:tr>
        <w:tc>
          <w:tcPr>
            <w:vAlign w:val="center"/>
          </w:tcPr>
          <w:p>
            <w:pPr>
              <w:jc w:val="center"/>
            </w:pPr>
            <w:r>
              <w:rPr>
                <w:color w:val="000000"/>
                <w:sz w:val="24"/>
                <w:szCs w:val="24"/>
              </w:rPr>
              <w:t>4</w:t>
            </w:r>
          </w:p>
        </w:tc>
        <w:tc>
          <w:tcPr>
            <w:vAlign w:val="center"/>
          </w:tcPr>
          <w:p>
            <w:pPr>
              <w:jc w:val="center"/>
            </w:pPr>
            <w:r>
              <w:rPr>
                <w:color w:val="000000"/>
                <w:sz w:val="24"/>
                <w:szCs w:val="24"/>
              </w:rPr>
              <w:t>002001</w:t>
            </w:r>
          </w:p>
        </w:tc>
        <w:tc>
          <w:tcPr>
            <w:vAlign w:val="center"/>
          </w:tcPr>
          <w:p>
            <w:pPr>
              <w:jc w:val="center"/>
            </w:pPr>
            <w:r>
              <w:rPr>
                <w:color w:val="000000"/>
                <w:sz w:val="24"/>
                <w:szCs w:val="24"/>
              </w:rPr>
              <w:t>新和成</w:t>
            </w:r>
          </w:p>
        </w:tc>
        <w:tc>
          <w:tcPr>
            <w:vAlign w:val="center"/>
          </w:tcPr>
          <w:p>
            <w:pPr>
              <w:jc w:val="right"/>
            </w:pPr>
            <w:r>
              <w:rPr>
                <w:color w:val="000000"/>
                <w:sz w:val="24"/>
                <w:szCs w:val="24"/>
              </w:rPr>
              <w:t>552,480</w:t>
            </w:r>
          </w:p>
        </w:tc>
        <w:tc>
          <w:tcPr>
            <w:vAlign w:val="center"/>
          </w:tcPr>
          <w:p>
            <w:pPr>
              <w:jc w:val="right"/>
            </w:pPr>
            <w:r>
              <w:rPr>
                <w:color w:val="000000"/>
                <w:sz w:val="24"/>
                <w:szCs w:val="24"/>
              </w:rPr>
              <w:t>12,850,684.80</w:t>
            </w:r>
          </w:p>
        </w:tc>
        <w:tc>
          <w:tcPr>
            <w:vAlign w:val="center"/>
          </w:tcPr>
          <w:p>
            <w:pPr>
              <w:jc w:val="right"/>
            </w:pPr>
            <w:r>
              <w:rPr>
                <w:color w:val="000000"/>
                <w:sz w:val="24"/>
                <w:szCs w:val="24"/>
              </w:rPr>
              <w:t>5.31</w:t>
            </w:r>
          </w:p>
        </w:tc>
      </w:tr>
      <w:tr>
        <w:tc>
          <w:tcPr>
            <w:vAlign w:val="center"/>
          </w:tcPr>
          <w:p>
            <w:pPr>
              <w:jc w:val="center"/>
            </w:pPr>
            <w:r>
              <w:rPr>
                <w:color w:val="000000"/>
                <w:sz w:val="24"/>
                <w:szCs w:val="24"/>
              </w:rPr>
              <w:t>5</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798,528</w:t>
            </w:r>
          </w:p>
        </w:tc>
        <w:tc>
          <w:tcPr>
            <w:vAlign w:val="center"/>
          </w:tcPr>
          <w:p>
            <w:pPr>
              <w:jc w:val="right"/>
            </w:pPr>
            <w:r>
              <w:rPr>
                <w:color w:val="000000"/>
                <w:sz w:val="24"/>
                <w:szCs w:val="24"/>
              </w:rPr>
              <w:t>11,961,949.44</w:t>
            </w:r>
          </w:p>
        </w:tc>
        <w:tc>
          <w:tcPr>
            <w:vAlign w:val="center"/>
          </w:tcPr>
          <w:p>
            <w:pPr>
              <w:jc w:val="right"/>
            </w:pPr>
            <w:r>
              <w:rPr>
                <w:color w:val="000000"/>
                <w:sz w:val="24"/>
                <w:szCs w:val="24"/>
              </w:rPr>
              <w:t>4.94</w:t>
            </w:r>
          </w:p>
        </w:tc>
      </w:tr>
      <w:tr>
        <w:tc>
          <w:tcPr>
            <w:vAlign w:val="center"/>
          </w:tcPr>
          <w:p>
            <w:pPr>
              <w:jc w:val="center"/>
            </w:pPr>
            <w:r>
              <w:rPr>
                <w:color w:val="000000"/>
                <w:sz w:val="24"/>
                <w:szCs w:val="24"/>
              </w:rPr>
              <w:t>6</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692,800</w:t>
            </w:r>
          </w:p>
        </w:tc>
        <w:tc>
          <w:tcPr>
            <w:vAlign w:val="center"/>
          </w:tcPr>
          <w:p>
            <w:pPr>
              <w:jc w:val="right"/>
            </w:pPr>
            <w:r>
              <w:rPr>
                <w:color w:val="000000"/>
                <w:sz w:val="24"/>
                <w:szCs w:val="24"/>
              </w:rPr>
              <w:t>11,209,504.00</w:t>
            </w:r>
          </w:p>
        </w:tc>
        <w:tc>
          <w:tcPr>
            <w:vAlign w:val="center"/>
          </w:tcPr>
          <w:p>
            <w:pPr>
              <w:jc w:val="right"/>
            </w:pPr>
            <w:r>
              <w:rPr>
                <w:color w:val="000000"/>
                <w:sz w:val="24"/>
                <w:szCs w:val="24"/>
              </w:rPr>
              <w:t>4.63</w:t>
            </w:r>
          </w:p>
        </w:tc>
      </w:tr>
      <w:tr>
        <w:tc>
          <w:tcPr>
            <w:vAlign w:val="center"/>
          </w:tcPr>
          <w:p>
            <w:pPr>
              <w:jc w:val="center"/>
            </w:pPr>
            <w:r>
              <w:rPr>
                <w:color w:val="000000"/>
                <w:sz w:val="24"/>
                <w:szCs w:val="24"/>
              </w:rPr>
              <w:t>7</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216,305</w:t>
            </w:r>
          </w:p>
        </w:tc>
        <w:tc>
          <w:tcPr>
            <w:vAlign w:val="center"/>
          </w:tcPr>
          <w:p>
            <w:pPr>
              <w:jc w:val="right"/>
            </w:pPr>
            <w:r>
              <w:rPr>
                <w:color w:val="000000"/>
                <w:sz w:val="24"/>
                <w:szCs w:val="24"/>
              </w:rPr>
              <w:t>10,319,911.55</w:t>
            </w:r>
          </w:p>
        </w:tc>
        <w:tc>
          <w:tcPr>
            <w:vAlign w:val="center"/>
          </w:tcPr>
          <w:p>
            <w:pPr>
              <w:jc w:val="right"/>
            </w:pPr>
            <w:r>
              <w:rPr>
                <w:color w:val="000000"/>
                <w:sz w:val="24"/>
                <w:szCs w:val="24"/>
              </w:rPr>
              <w:t>4.26</w:t>
            </w:r>
          </w:p>
        </w:tc>
      </w:tr>
      <w:tr>
        <w:tc>
          <w:tcPr>
            <w:vAlign w:val="center"/>
          </w:tcPr>
          <w:p>
            <w:pPr>
              <w:jc w:val="center"/>
            </w:pPr>
            <w:r>
              <w:rPr>
                <w:color w:val="000000"/>
                <w:sz w:val="24"/>
                <w:szCs w:val="24"/>
              </w:rPr>
              <w:t>8</w:t>
            </w:r>
          </w:p>
        </w:tc>
        <w:tc>
          <w:tcPr>
            <w:vAlign w:val="center"/>
          </w:tcPr>
          <w:p>
            <w:pPr>
              <w:jc w:val="center"/>
            </w:pPr>
            <w:r>
              <w:rPr>
                <w:color w:val="000000"/>
                <w:sz w:val="24"/>
                <w:szCs w:val="24"/>
              </w:rPr>
              <w:t>002236</w:t>
            </w:r>
          </w:p>
        </w:tc>
        <w:tc>
          <w:tcPr>
            <w:vAlign w:val="center"/>
          </w:tcPr>
          <w:p>
            <w:pPr>
              <w:jc w:val="center"/>
            </w:pPr>
            <w:r>
              <w:rPr>
                <w:color w:val="000000"/>
                <w:sz w:val="24"/>
                <w:szCs w:val="24"/>
              </w:rPr>
              <w:t>大华股份</w:t>
            </w:r>
          </w:p>
        </w:tc>
        <w:tc>
          <w:tcPr>
            <w:vAlign w:val="center"/>
          </w:tcPr>
          <w:p>
            <w:pPr>
              <w:jc w:val="right"/>
            </w:pPr>
            <w:r>
              <w:rPr>
                <w:color w:val="000000"/>
                <w:sz w:val="24"/>
                <w:szCs w:val="24"/>
              </w:rPr>
              <w:t>517,476</w:t>
            </w:r>
          </w:p>
        </w:tc>
        <w:tc>
          <w:tcPr>
            <w:vAlign w:val="center"/>
          </w:tcPr>
          <w:p>
            <w:pPr>
              <w:jc w:val="right"/>
            </w:pPr>
            <w:r>
              <w:rPr>
                <w:color w:val="000000"/>
                <w:sz w:val="24"/>
                <w:szCs w:val="24"/>
              </w:rPr>
              <w:t>10,287,422.88</w:t>
            </w:r>
          </w:p>
        </w:tc>
        <w:tc>
          <w:tcPr>
            <w:vAlign w:val="center"/>
          </w:tcPr>
          <w:p>
            <w:pPr>
              <w:jc w:val="right"/>
            </w:pPr>
            <w:r>
              <w:rPr>
                <w:color w:val="000000"/>
                <w:sz w:val="24"/>
                <w:szCs w:val="24"/>
              </w:rPr>
              <w:t>4.25</w:t>
            </w:r>
          </w:p>
        </w:tc>
      </w:tr>
      <w:tr>
        <w:tc>
          <w:tcPr>
            <w:vAlign w:val="center"/>
          </w:tcPr>
          <w:p>
            <w:pPr>
              <w:jc w:val="center"/>
            </w:pPr>
            <w:r>
              <w:rPr>
                <w:color w:val="000000"/>
                <w:sz w:val="24"/>
                <w:szCs w:val="24"/>
              </w:rPr>
              <w:t>9</w:t>
            </w:r>
          </w:p>
        </w:tc>
        <w:tc>
          <w:tcPr>
            <w:vAlign w:val="center"/>
          </w:tcPr>
          <w:p>
            <w:pPr>
              <w:jc w:val="center"/>
            </w:pPr>
            <w:r>
              <w:rPr>
                <w:color w:val="000000"/>
                <w:sz w:val="24"/>
                <w:szCs w:val="24"/>
              </w:rPr>
              <w:t>300454</w:t>
            </w:r>
          </w:p>
        </w:tc>
        <w:tc>
          <w:tcPr>
            <w:vAlign w:val="center"/>
          </w:tcPr>
          <w:p>
            <w:pPr>
              <w:jc w:val="center"/>
            </w:pPr>
            <w:r>
              <w:rPr>
                <w:color w:val="000000"/>
                <w:sz w:val="24"/>
                <w:szCs w:val="24"/>
              </w:rPr>
              <w:t>深信服</w:t>
            </w:r>
          </w:p>
        </w:tc>
        <w:tc>
          <w:tcPr>
            <w:vAlign w:val="center"/>
          </w:tcPr>
          <w:p>
            <w:pPr>
              <w:jc w:val="right"/>
            </w:pPr>
            <w:r>
              <w:rPr>
                <w:color w:val="000000"/>
                <w:sz w:val="24"/>
                <w:szCs w:val="24"/>
              </w:rPr>
              <w:t>89,652</w:t>
            </w:r>
          </w:p>
        </w:tc>
        <w:tc>
          <w:tcPr>
            <w:vAlign w:val="center"/>
          </w:tcPr>
          <w:p>
            <w:pPr>
              <w:jc w:val="right"/>
            </w:pPr>
            <w:r>
              <w:rPr>
                <w:color w:val="000000"/>
                <w:sz w:val="24"/>
                <w:szCs w:val="24"/>
              </w:rPr>
              <w:t>10,255,292.28</w:t>
            </w:r>
          </w:p>
        </w:tc>
        <w:tc>
          <w:tcPr>
            <w:vAlign w:val="center"/>
          </w:tcPr>
          <w:p>
            <w:pPr>
              <w:jc w:val="right"/>
            </w:pPr>
            <w:r>
              <w:rPr>
                <w:color w:val="000000"/>
                <w:sz w:val="24"/>
                <w:szCs w:val="24"/>
              </w:rPr>
              <w:t>4.23</w:t>
            </w:r>
          </w:p>
        </w:tc>
      </w:tr>
      <w:tr>
        <w:tc>
          <w:tcPr>
            <w:vAlign w:val="center"/>
          </w:tcPr>
          <w:p>
            <w:pPr>
              <w:jc w:val="center"/>
            </w:pPr>
            <w:r>
              <w:rPr>
                <w:color w:val="000000"/>
                <w:sz w:val="24"/>
                <w:szCs w:val="24"/>
              </w:rPr>
              <w:t>10</w:t>
            </w:r>
          </w:p>
        </w:tc>
        <w:tc>
          <w:tcPr>
            <w:vAlign w:val="center"/>
          </w:tcPr>
          <w:p>
            <w:pPr>
              <w:jc w:val="center"/>
            </w:pPr>
            <w:r>
              <w:rPr>
                <w:color w:val="000000"/>
                <w:sz w:val="24"/>
                <w:szCs w:val="24"/>
              </w:rPr>
              <w:t>300036</w:t>
            </w:r>
          </w:p>
        </w:tc>
        <w:tc>
          <w:tcPr>
            <w:vAlign w:val="center"/>
          </w:tcPr>
          <w:p>
            <w:pPr>
              <w:jc w:val="center"/>
            </w:pPr>
            <w:r>
              <w:rPr>
                <w:color w:val="000000"/>
                <w:sz w:val="24"/>
                <w:szCs w:val="24"/>
              </w:rPr>
              <w:t>超图软件</w:t>
            </w:r>
          </w:p>
        </w:tc>
        <w:tc>
          <w:tcPr>
            <w:vAlign w:val="center"/>
          </w:tcPr>
          <w:p>
            <w:pPr>
              <w:jc w:val="right"/>
            </w:pPr>
            <w:r>
              <w:rPr>
                <w:color w:val="000000"/>
                <w:sz w:val="24"/>
                <w:szCs w:val="24"/>
              </w:rPr>
              <w:t>499,916</w:t>
            </w:r>
          </w:p>
        </w:tc>
        <w:tc>
          <w:tcPr>
            <w:vAlign w:val="center"/>
          </w:tcPr>
          <w:p>
            <w:pPr>
              <w:jc w:val="right"/>
            </w:pPr>
            <w:r>
              <w:rPr>
                <w:color w:val="000000"/>
                <w:sz w:val="24"/>
                <w:szCs w:val="24"/>
              </w:rPr>
              <w:t>9,963,325.88</w:t>
            </w:r>
          </w:p>
        </w:tc>
        <w:tc>
          <w:tcPr>
            <w:vAlign w:val="center"/>
          </w:tcPr>
          <w:p>
            <w:pPr>
              <w:jc w:val="right"/>
            </w:pPr>
            <w:r>
              <w:rPr>
                <w:color w:val="000000"/>
                <w:sz w:val="24"/>
                <w:szCs w:val="24"/>
              </w:rPr>
              <w:t>4.11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10,013,000.00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10,013,000.00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10,013,000.00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100,000</w:t>
            </w:r>
          </w:p>
        </w:tc>
        <w:tc>
          <w:tcPr>
            <w:vAlign w:val="center"/>
          </w:tcPr>
          <w:p>
            <w:pPr>
              <w:jc w:val="right"/>
            </w:pPr>
            <w:r>
              <w:rPr>
                <w:color w:val="000000"/>
                <w:sz w:val="24"/>
                <w:szCs w:val="24"/>
              </w:rPr>
              <w:t>10,013,000.00</w:t>
            </w:r>
          </w:p>
        </w:tc>
        <w:tc>
          <w:tcPr>
            <w:vAlign w:val="center"/>
          </w:tcPr>
          <w:p>
            <w:pPr>
              <w:jc w:val="right"/>
            </w:pPr>
            <w:r>
              <w:rPr>
                <w:color w:val="000000"/>
                <w:sz w:val="24"/>
                <w:szCs w:val="24"/>
              </w:rPr>
              <w:t>4.13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121,873.00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133,665.07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1,395,975.74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1,651,513.81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224,129,825.00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39,975,426.28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82,540,686.06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181,564,565.22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1、中国证监会准予交银施罗德科技创新灵活配置混合型证券投资基金募集注册的文件；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2、《交银施罗德科技创新灵活配置混合型证券投资基金基金合同》；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3、《交银施罗德科技创新灵活配置混合型证券投资基金招募说明书》；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4、《交银施罗德科技创新灵活配置混合型证券投资基金托管协议》；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5、关于申请募集注册交银施罗德科技创新灵活配置混合型证券投资基金的法律意见书；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8、报告期内交银施罗德科技创新灵活配置混合型证券投资基金在指定报刊上各项公告的原稿。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交银施罗德科技创新灵活配置混合型证券投资基金2019年第4季度报告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