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交银施罗德天益宝货币市场基金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中国工商银行股份有限公司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基金托管人中国工商银行股份有限公司根据本基金合同规定，于2020年1月20日复核了本报告中的财务指标、净值表现和投资组合报告等内容，保证复核内容不存在虚假记载、误导性陈述或者重大遗漏。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7,295,784,046.93</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交银天益宝货币A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交银天益宝货币E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003968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003969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3,473,597.25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7,292,310,449.68</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交银天益宝货币A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交银天益宝货币E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27,911.70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50,461,551.25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27,911.70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50,461,551.25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3,473,597.25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7,292,310,449.68</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交银天益宝货币A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0.6366%</w:t>
            </w:r>
          </w:p>
        </w:tc>
        <w:tc>
          <w:tcPr>
            <w:vAlign w:val="center"/>
          </w:tcPr>
          <w:p>
            <w:pPr>
              <w:jc w:val="center"/>
            </w:pPr>
            <w:r>
              <w:rPr>
                <w:rFonts w:ascii="Times New Roman" w:hAnsi="Times New Roman"/>
                <w:color w:val="000000"/>
              </w:rPr>
              <w:t>0.0011%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0.5484%</w:t>
            </w:r>
          </w:p>
        </w:tc>
        <w:tc>
          <w:tcPr>
            <w:vAlign w:val="center"/>
          </w:tcPr>
          <w:p>
            <w:pPr>
              <w:jc w:val="center"/>
            </w:pPr>
            <w:r>
              <w:rPr>
                <w:rFonts w:ascii="Times New Roman" w:hAnsi="Times New Roman"/>
                <w:color w:val="000000"/>
              </w:rPr>
              <w:t>0.0011%</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交银天益宝货币E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0.6980%</w:t>
            </w:r>
          </w:p>
        </w:tc>
        <w:tc>
          <w:tcPr>
            <w:vAlign w:val="center"/>
          </w:tcPr>
          <w:p>
            <w:pPr>
              <w:jc w:val="center"/>
            </w:pPr>
            <w:r>
              <w:rPr>
                <w:rFonts w:ascii="Times New Roman" w:hAnsi="Times New Roman"/>
                <w:color w:val="000000"/>
              </w:rPr>
              <w:t>0.0011%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0.6098%</w:t>
            </w:r>
          </w:p>
        </w:tc>
        <w:tc>
          <w:tcPr>
            <w:vAlign w:val="center"/>
          </w:tcPr>
          <w:p>
            <w:pPr>
              <w:jc w:val="center"/>
            </w:pPr>
            <w:r>
              <w:rPr>
                <w:rFonts w:ascii="Times New Roman" w:hAnsi="Times New Roman"/>
                <w:color w:val="000000"/>
              </w:rPr>
              <w:t>0.0011%</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交银施罗德天益宝货币市场基金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2016年12月20日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交银天益宝货币A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交银天益宝货币E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2016-12-20</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3.14%小幅下行1bp到3.13%。由于资金面总体宽松、机构整体配置压力较大，相对来说确定性较强的中短端债券受到资金的追捧，收益率下行明显。期限利差走阔，收益率曲线明显陡峭化。</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组合整体流动性良好。年末时点货币市场工具收益率有一定幅度的上行，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2020年一季度，我们认为在降成本环境下货币环境延续宽松，流动性总量将维持合理充裕。但我们将密切关注通胀是否会超预期上行从而带来货币政策的边际变化，也将继续观察银行理财子公司的发展以及类货币型理财产品对行业生态的影响。</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2,623,521,915.26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33.32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2,604,521,915.26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33.08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19,000,000.00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0.24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2,653,196,339.80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33.70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2,510,002,234.99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31.88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86,849,422.81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1.10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7,873,569,912.86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10.58</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575,181,422.36</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7.88</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59</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23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34.61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7.88</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9.71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44.00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13.51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4.89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106.73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7.88</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370,198,993.54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5.07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370,198,993.54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5.07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199,840,436.05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2.74</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2,034,482,485.67</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27.89</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2,604,521,915.26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35.70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111977906</w:t>
            </w:r>
          </w:p>
        </w:tc>
        <w:tc>
          <w:tcPr>
            <w:vAlign w:val="center"/>
          </w:tcPr>
          <w:p>
            <w:pPr>
              <w:jc w:val="center"/>
            </w:pPr>
            <w:r>
              <w:rPr>
                <w:color w:val="000000"/>
                <w:sz w:val="24"/>
              </w:rPr>
              <w:t>19恒生银行CD039</w:t>
            </w:r>
          </w:p>
        </w:tc>
        <w:tc>
          <w:tcPr>
            <w:vAlign w:val="center"/>
          </w:tcPr>
          <w:p>
            <w:pPr>
              <w:jc w:val="right"/>
            </w:pPr>
            <w:r>
              <w:rPr>
                <w:color w:val="000000"/>
                <w:sz w:val="24"/>
              </w:rPr>
              <w:t>2,000,000</w:t>
            </w:r>
          </w:p>
        </w:tc>
        <w:tc>
          <w:tcPr>
            <w:vAlign w:val="center"/>
          </w:tcPr>
          <w:p>
            <w:pPr>
              <w:jc w:val="right"/>
            </w:pPr>
            <w:r>
              <w:rPr>
                <w:color w:val="000000"/>
                <w:sz w:val="24"/>
              </w:rPr>
              <w:t>198,551,626.92</w:t>
            </w:r>
          </w:p>
        </w:tc>
        <w:tc>
          <w:tcPr>
            <w:vAlign w:val="center"/>
          </w:tcPr>
          <w:p>
            <w:pPr>
              <w:jc w:val="right"/>
            </w:pPr>
            <w:r>
              <w:rPr>
                <w:color w:val="000000"/>
                <w:sz w:val="24"/>
              </w:rPr>
              <w:t>2.72</w:t>
            </w:r>
          </w:p>
        </w:tc>
      </w:tr>
      <w:tr>
        <w:tc>
          <w:tcPr>
            <w:vAlign w:val="center"/>
          </w:tcPr>
          <w:p>
            <w:pPr>
              <w:jc w:val="center"/>
            </w:pPr>
            <w:r>
              <w:rPr>
                <w:color w:val="000000"/>
                <w:sz w:val="24"/>
              </w:rPr>
              <w:t>2</w:t>
            </w:r>
          </w:p>
        </w:tc>
        <w:tc>
          <w:tcPr>
            <w:vAlign w:val="center"/>
          </w:tcPr>
          <w:p>
            <w:pPr>
              <w:jc w:val="center"/>
            </w:pPr>
            <w:r>
              <w:rPr>
                <w:color w:val="000000"/>
                <w:sz w:val="24"/>
              </w:rPr>
              <w:t>130208</w:t>
            </w:r>
          </w:p>
        </w:tc>
        <w:tc>
          <w:tcPr>
            <w:vAlign w:val="center"/>
          </w:tcPr>
          <w:p>
            <w:pPr>
              <w:jc w:val="center"/>
            </w:pPr>
            <w:r>
              <w:rPr>
                <w:color w:val="000000"/>
                <w:sz w:val="24"/>
              </w:rPr>
              <w:t>13国开08</w:t>
            </w:r>
          </w:p>
        </w:tc>
        <w:tc>
          <w:tcPr>
            <w:vAlign w:val="center"/>
          </w:tcPr>
          <w:p>
            <w:pPr>
              <w:jc w:val="right"/>
            </w:pPr>
            <w:r>
              <w:rPr>
                <w:color w:val="000000"/>
                <w:sz w:val="24"/>
              </w:rPr>
              <w:t>1,600,000</w:t>
            </w:r>
          </w:p>
        </w:tc>
        <w:tc>
          <w:tcPr>
            <w:vAlign w:val="center"/>
          </w:tcPr>
          <w:p>
            <w:pPr>
              <w:jc w:val="right"/>
            </w:pPr>
            <w:r>
              <w:rPr>
                <w:color w:val="000000"/>
                <w:sz w:val="24"/>
              </w:rPr>
              <w:t>160,018,673.65</w:t>
            </w:r>
          </w:p>
        </w:tc>
        <w:tc>
          <w:tcPr>
            <w:vAlign w:val="center"/>
          </w:tcPr>
          <w:p>
            <w:pPr>
              <w:jc w:val="right"/>
            </w:pPr>
            <w:r>
              <w:rPr>
                <w:color w:val="000000"/>
                <w:sz w:val="24"/>
              </w:rPr>
              <w:t>2.19</w:t>
            </w:r>
          </w:p>
        </w:tc>
      </w:tr>
      <w:tr>
        <w:tc>
          <w:tcPr>
            <w:vAlign w:val="center"/>
          </w:tcPr>
          <w:p>
            <w:pPr>
              <w:jc w:val="center"/>
            </w:pPr>
            <w:r>
              <w:rPr>
                <w:color w:val="000000"/>
                <w:sz w:val="24"/>
              </w:rPr>
              <w:t>3</w:t>
            </w:r>
          </w:p>
        </w:tc>
        <w:tc>
          <w:tcPr>
            <w:vAlign w:val="center"/>
          </w:tcPr>
          <w:p>
            <w:pPr>
              <w:jc w:val="center"/>
            </w:pPr>
            <w:r>
              <w:rPr>
                <w:color w:val="000000"/>
                <w:sz w:val="24"/>
              </w:rPr>
              <w:t>111977069</w:t>
            </w:r>
          </w:p>
        </w:tc>
        <w:tc>
          <w:tcPr>
            <w:vAlign w:val="center"/>
          </w:tcPr>
          <w:p>
            <w:pPr>
              <w:jc w:val="center"/>
            </w:pPr>
            <w:r>
              <w:rPr>
                <w:color w:val="000000"/>
                <w:sz w:val="24"/>
              </w:rPr>
              <w:t>19东亚银行CD057</w:t>
            </w:r>
          </w:p>
        </w:tc>
        <w:tc>
          <w:tcPr>
            <w:vAlign w:val="center"/>
          </w:tcPr>
          <w:p>
            <w:pPr>
              <w:jc w:val="right"/>
            </w:pPr>
            <w:r>
              <w:rPr>
                <w:color w:val="000000"/>
                <w:sz w:val="24"/>
              </w:rPr>
              <w:t>1,500,000</w:t>
            </w:r>
          </w:p>
        </w:tc>
        <w:tc>
          <w:tcPr>
            <w:vAlign w:val="center"/>
          </w:tcPr>
          <w:p>
            <w:pPr>
              <w:jc w:val="right"/>
            </w:pPr>
            <w:r>
              <w:rPr>
                <w:color w:val="000000"/>
                <w:sz w:val="24"/>
              </w:rPr>
              <w:t>148,993,929.38</w:t>
            </w:r>
          </w:p>
        </w:tc>
        <w:tc>
          <w:tcPr>
            <w:vAlign w:val="center"/>
          </w:tcPr>
          <w:p>
            <w:pPr>
              <w:jc w:val="right"/>
            </w:pPr>
            <w:r>
              <w:rPr>
                <w:color w:val="000000"/>
                <w:sz w:val="24"/>
              </w:rPr>
              <w:t>2.04</w:t>
            </w:r>
          </w:p>
        </w:tc>
      </w:tr>
      <w:tr>
        <w:tc>
          <w:tcPr>
            <w:vAlign w:val="center"/>
          </w:tcPr>
          <w:p>
            <w:pPr>
              <w:jc w:val="center"/>
            </w:pPr>
            <w:r>
              <w:rPr>
                <w:color w:val="000000"/>
                <w:sz w:val="24"/>
              </w:rPr>
              <w:t>4</w:t>
            </w:r>
          </w:p>
        </w:tc>
        <w:tc>
          <w:tcPr>
            <w:vAlign w:val="center"/>
          </w:tcPr>
          <w:p>
            <w:pPr>
              <w:jc w:val="center"/>
            </w:pPr>
            <w:r>
              <w:rPr>
                <w:color w:val="000000"/>
                <w:sz w:val="24"/>
              </w:rPr>
              <w:t>111977495</w:t>
            </w:r>
          </w:p>
        </w:tc>
        <w:tc>
          <w:tcPr>
            <w:vAlign w:val="center"/>
          </w:tcPr>
          <w:p>
            <w:pPr>
              <w:jc w:val="center"/>
            </w:pPr>
            <w:r>
              <w:rPr>
                <w:color w:val="000000"/>
                <w:sz w:val="24"/>
              </w:rPr>
              <w:t>19兰州银行CD063</w:t>
            </w:r>
          </w:p>
        </w:tc>
        <w:tc>
          <w:tcPr>
            <w:vAlign w:val="center"/>
          </w:tcPr>
          <w:p>
            <w:pPr>
              <w:jc w:val="right"/>
            </w:pPr>
            <w:r>
              <w:rPr>
                <w:color w:val="000000"/>
                <w:sz w:val="24"/>
              </w:rPr>
              <w:t>1,500,000</w:t>
            </w:r>
          </w:p>
        </w:tc>
        <w:tc>
          <w:tcPr>
            <w:vAlign w:val="center"/>
          </w:tcPr>
          <w:p>
            <w:pPr>
              <w:jc w:val="right"/>
            </w:pPr>
            <w:r>
              <w:rPr>
                <w:color w:val="000000"/>
                <w:sz w:val="24"/>
              </w:rPr>
              <w:t>148,950,847.43</w:t>
            </w:r>
          </w:p>
        </w:tc>
        <w:tc>
          <w:tcPr>
            <w:vAlign w:val="center"/>
          </w:tcPr>
          <w:p>
            <w:pPr>
              <w:jc w:val="right"/>
            </w:pPr>
            <w:r>
              <w:rPr>
                <w:color w:val="000000"/>
                <w:sz w:val="24"/>
              </w:rPr>
              <w:t>2.04</w:t>
            </w:r>
          </w:p>
        </w:tc>
      </w:tr>
      <w:tr>
        <w:tc>
          <w:tcPr>
            <w:vAlign w:val="center"/>
          </w:tcPr>
          <w:p>
            <w:pPr>
              <w:jc w:val="center"/>
            </w:pPr>
            <w:r>
              <w:rPr>
                <w:color w:val="000000"/>
                <w:sz w:val="24"/>
              </w:rPr>
              <w:t>5</w:t>
            </w:r>
          </w:p>
        </w:tc>
        <w:tc>
          <w:tcPr>
            <w:vAlign w:val="center"/>
          </w:tcPr>
          <w:p>
            <w:pPr>
              <w:jc w:val="center"/>
            </w:pPr>
            <w:r>
              <w:rPr>
                <w:color w:val="000000"/>
                <w:sz w:val="24"/>
              </w:rPr>
              <w:t>011902375</w:t>
            </w:r>
          </w:p>
        </w:tc>
        <w:tc>
          <w:tcPr>
            <w:vAlign w:val="center"/>
          </w:tcPr>
          <w:p>
            <w:pPr>
              <w:jc w:val="center"/>
            </w:pPr>
            <w:r>
              <w:rPr>
                <w:color w:val="000000"/>
                <w:sz w:val="24"/>
              </w:rPr>
              <w:t>19中电投SCP030</w:t>
            </w:r>
          </w:p>
        </w:tc>
        <w:tc>
          <w:tcPr>
            <w:vAlign w:val="center"/>
          </w:tcPr>
          <w:p>
            <w:pPr>
              <w:jc w:val="right"/>
            </w:pPr>
            <w:r>
              <w:rPr>
                <w:color w:val="000000"/>
                <w:sz w:val="24"/>
              </w:rPr>
              <w:t>1,000,000</w:t>
            </w:r>
          </w:p>
        </w:tc>
        <w:tc>
          <w:tcPr>
            <w:vAlign w:val="center"/>
          </w:tcPr>
          <w:p>
            <w:pPr>
              <w:jc w:val="right"/>
            </w:pPr>
            <w:r>
              <w:rPr>
                <w:color w:val="000000"/>
                <w:sz w:val="24"/>
              </w:rPr>
              <w:t>99,787,597.21</w:t>
            </w:r>
          </w:p>
        </w:tc>
        <w:tc>
          <w:tcPr>
            <w:vAlign w:val="center"/>
          </w:tcPr>
          <w:p>
            <w:pPr>
              <w:jc w:val="right"/>
            </w:pPr>
            <w:r>
              <w:rPr>
                <w:color w:val="000000"/>
                <w:sz w:val="24"/>
              </w:rPr>
              <w:t>1.37</w:t>
            </w:r>
          </w:p>
        </w:tc>
      </w:tr>
      <w:tr>
        <w:tc>
          <w:tcPr>
            <w:vAlign w:val="center"/>
          </w:tcPr>
          <w:p>
            <w:pPr>
              <w:jc w:val="center"/>
            </w:pPr>
            <w:r>
              <w:rPr>
                <w:color w:val="000000"/>
                <w:sz w:val="24"/>
              </w:rPr>
              <w:t>6</w:t>
            </w:r>
          </w:p>
        </w:tc>
        <w:tc>
          <w:tcPr>
            <w:vAlign w:val="center"/>
          </w:tcPr>
          <w:p>
            <w:pPr>
              <w:jc w:val="center"/>
            </w:pPr>
            <w:r>
              <w:rPr>
                <w:color w:val="000000"/>
                <w:sz w:val="24"/>
              </w:rPr>
              <w:t>111921491</w:t>
            </w:r>
          </w:p>
        </w:tc>
        <w:tc>
          <w:tcPr>
            <w:vAlign w:val="center"/>
          </w:tcPr>
          <w:p>
            <w:pPr>
              <w:jc w:val="center"/>
            </w:pPr>
            <w:r>
              <w:rPr>
                <w:color w:val="000000"/>
                <w:sz w:val="24"/>
              </w:rPr>
              <w:t>19渤海银行CD491</w:t>
            </w:r>
          </w:p>
        </w:tc>
        <w:tc>
          <w:tcPr>
            <w:vAlign w:val="center"/>
          </w:tcPr>
          <w:p>
            <w:pPr>
              <w:jc w:val="right"/>
            </w:pPr>
            <w:r>
              <w:rPr>
                <w:color w:val="000000"/>
                <w:sz w:val="24"/>
              </w:rPr>
              <w:t>1,000,000</w:t>
            </w:r>
          </w:p>
        </w:tc>
        <w:tc>
          <w:tcPr>
            <w:vAlign w:val="center"/>
          </w:tcPr>
          <w:p>
            <w:pPr>
              <w:jc w:val="right"/>
            </w:pPr>
            <w:r>
              <w:rPr>
                <w:color w:val="000000"/>
                <w:sz w:val="24"/>
              </w:rPr>
              <w:t>99,283,971.50</w:t>
            </w:r>
          </w:p>
        </w:tc>
        <w:tc>
          <w:tcPr>
            <w:vAlign w:val="center"/>
          </w:tcPr>
          <w:p>
            <w:pPr>
              <w:jc w:val="right"/>
            </w:pPr>
            <w:r>
              <w:rPr>
                <w:color w:val="000000"/>
                <w:sz w:val="24"/>
              </w:rPr>
              <w:t>1.36</w:t>
            </w:r>
          </w:p>
        </w:tc>
      </w:tr>
      <w:tr>
        <w:tc>
          <w:tcPr>
            <w:vAlign w:val="center"/>
          </w:tcPr>
          <w:p>
            <w:pPr>
              <w:jc w:val="center"/>
            </w:pPr>
            <w:r>
              <w:rPr>
                <w:color w:val="000000"/>
                <w:sz w:val="24"/>
              </w:rPr>
              <w:t>7</w:t>
            </w:r>
          </w:p>
        </w:tc>
        <w:tc>
          <w:tcPr>
            <w:vAlign w:val="center"/>
          </w:tcPr>
          <w:p>
            <w:pPr>
              <w:jc w:val="center"/>
            </w:pPr>
            <w:r>
              <w:rPr>
                <w:color w:val="000000"/>
                <w:sz w:val="24"/>
              </w:rPr>
              <w:t>111977814</w:t>
            </w:r>
          </w:p>
        </w:tc>
        <w:tc>
          <w:tcPr>
            <w:vAlign w:val="center"/>
          </w:tcPr>
          <w:p>
            <w:pPr>
              <w:jc w:val="center"/>
            </w:pPr>
            <w:r>
              <w:rPr>
                <w:color w:val="000000"/>
                <w:sz w:val="24"/>
              </w:rPr>
              <w:t>19东亚银行CD061</w:t>
            </w:r>
          </w:p>
        </w:tc>
        <w:tc>
          <w:tcPr>
            <w:vAlign w:val="center"/>
          </w:tcPr>
          <w:p>
            <w:pPr>
              <w:jc w:val="right"/>
            </w:pPr>
            <w:r>
              <w:rPr>
                <w:color w:val="000000"/>
                <w:sz w:val="24"/>
              </w:rPr>
              <w:t>1,000,000</w:t>
            </w:r>
          </w:p>
        </w:tc>
        <w:tc>
          <w:tcPr>
            <w:vAlign w:val="center"/>
          </w:tcPr>
          <w:p>
            <w:pPr>
              <w:jc w:val="right"/>
            </w:pPr>
            <w:r>
              <w:rPr>
                <w:color w:val="000000"/>
                <w:sz w:val="24"/>
              </w:rPr>
              <w:t>99,276,975.17</w:t>
            </w:r>
          </w:p>
        </w:tc>
        <w:tc>
          <w:tcPr>
            <w:vAlign w:val="center"/>
          </w:tcPr>
          <w:p>
            <w:pPr>
              <w:jc w:val="right"/>
            </w:pPr>
            <w:r>
              <w:rPr>
                <w:color w:val="000000"/>
                <w:sz w:val="24"/>
              </w:rPr>
              <w:t>1.36</w:t>
            </w:r>
          </w:p>
        </w:tc>
      </w:tr>
      <w:tr>
        <w:tc>
          <w:tcPr>
            <w:vAlign w:val="center"/>
          </w:tcPr>
          <w:p>
            <w:pPr>
              <w:jc w:val="center"/>
            </w:pPr>
            <w:r>
              <w:rPr>
                <w:color w:val="000000"/>
                <w:sz w:val="24"/>
              </w:rPr>
              <w:t>8</w:t>
            </w:r>
          </w:p>
        </w:tc>
        <w:tc>
          <w:tcPr>
            <w:vAlign w:val="center"/>
          </w:tcPr>
          <w:p>
            <w:pPr>
              <w:jc w:val="center"/>
            </w:pPr>
            <w:r>
              <w:rPr>
                <w:color w:val="000000"/>
                <w:sz w:val="24"/>
              </w:rPr>
              <w:t>190302</w:t>
            </w:r>
          </w:p>
        </w:tc>
        <w:tc>
          <w:tcPr>
            <w:vAlign w:val="center"/>
          </w:tcPr>
          <w:p>
            <w:pPr>
              <w:jc w:val="center"/>
            </w:pPr>
            <w:r>
              <w:rPr>
                <w:color w:val="000000"/>
                <w:sz w:val="24"/>
              </w:rPr>
              <w:t>19进出02</w:t>
            </w:r>
          </w:p>
        </w:tc>
        <w:tc>
          <w:tcPr>
            <w:vAlign w:val="center"/>
          </w:tcPr>
          <w:p>
            <w:pPr>
              <w:jc w:val="right"/>
            </w:pPr>
            <w:r>
              <w:rPr>
                <w:color w:val="000000"/>
                <w:sz w:val="24"/>
              </w:rPr>
              <w:t>800,000</w:t>
            </w:r>
          </w:p>
        </w:tc>
        <w:tc>
          <w:tcPr>
            <w:vAlign w:val="center"/>
          </w:tcPr>
          <w:p>
            <w:pPr>
              <w:jc w:val="right"/>
            </w:pPr>
            <w:r>
              <w:rPr>
                <w:color w:val="000000"/>
                <w:sz w:val="24"/>
              </w:rPr>
              <w:t>80,026,440.52</w:t>
            </w:r>
          </w:p>
        </w:tc>
        <w:tc>
          <w:tcPr>
            <w:vAlign w:val="center"/>
          </w:tcPr>
          <w:p>
            <w:pPr>
              <w:jc w:val="right"/>
            </w:pPr>
            <w:r>
              <w:rPr>
                <w:color w:val="000000"/>
                <w:sz w:val="24"/>
              </w:rPr>
              <w:t>1.10</w:t>
            </w:r>
          </w:p>
        </w:tc>
      </w:tr>
      <w:tr>
        <w:tc>
          <w:tcPr>
            <w:vAlign w:val="center"/>
          </w:tcPr>
          <w:p>
            <w:pPr>
              <w:jc w:val="center"/>
            </w:pPr>
            <w:r>
              <w:rPr>
                <w:color w:val="000000"/>
                <w:sz w:val="24"/>
              </w:rPr>
              <w:t>9</w:t>
            </w:r>
          </w:p>
        </w:tc>
        <w:tc>
          <w:tcPr>
            <w:vAlign w:val="center"/>
          </w:tcPr>
          <w:p>
            <w:pPr>
              <w:jc w:val="center"/>
            </w:pPr>
            <w:r>
              <w:rPr>
                <w:color w:val="000000"/>
                <w:sz w:val="24"/>
              </w:rPr>
              <w:t>190402</w:t>
            </w:r>
          </w:p>
        </w:tc>
        <w:tc>
          <w:tcPr>
            <w:vAlign w:val="center"/>
          </w:tcPr>
          <w:p>
            <w:pPr>
              <w:jc w:val="center"/>
            </w:pPr>
            <w:r>
              <w:rPr>
                <w:color w:val="000000"/>
                <w:sz w:val="24"/>
              </w:rPr>
              <w:t>19农发02</w:t>
            </w:r>
          </w:p>
        </w:tc>
        <w:tc>
          <w:tcPr>
            <w:vAlign w:val="center"/>
          </w:tcPr>
          <w:p>
            <w:pPr>
              <w:jc w:val="right"/>
            </w:pPr>
            <w:r>
              <w:rPr>
                <w:color w:val="000000"/>
                <w:sz w:val="24"/>
              </w:rPr>
              <w:t>800,000</w:t>
            </w:r>
          </w:p>
        </w:tc>
        <w:tc>
          <w:tcPr>
            <w:vAlign w:val="center"/>
          </w:tcPr>
          <w:p>
            <w:pPr>
              <w:jc w:val="right"/>
            </w:pPr>
            <w:r>
              <w:rPr>
                <w:color w:val="000000"/>
                <w:sz w:val="24"/>
              </w:rPr>
              <w:t>80,006,972.55</w:t>
            </w:r>
          </w:p>
        </w:tc>
        <w:tc>
          <w:tcPr>
            <w:vAlign w:val="center"/>
          </w:tcPr>
          <w:p>
            <w:pPr>
              <w:jc w:val="right"/>
            </w:pPr>
            <w:r>
              <w:rPr>
                <w:color w:val="000000"/>
                <w:sz w:val="24"/>
              </w:rPr>
              <w:t>1.10</w:t>
            </w:r>
          </w:p>
        </w:tc>
      </w:tr>
      <w:tr>
        <w:tc>
          <w:tcPr>
            <w:vAlign w:val="center"/>
          </w:tcPr>
          <w:p>
            <w:pPr>
              <w:jc w:val="center"/>
            </w:pPr>
            <w:r>
              <w:rPr>
                <w:color w:val="000000"/>
                <w:sz w:val="24"/>
              </w:rPr>
              <w:t>10</w:t>
            </w:r>
          </w:p>
        </w:tc>
        <w:tc>
          <w:tcPr>
            <w:vAlign w:val="center"/>
          </w:tcPr>
          <w:p>
            <w:pPr>
              <w:jc w:val="center"/>
            </w:pPr>
            <w:r>
              <w:rPr>
                <w:color w:val="000000"/>
                <w:sz w:val="24"/>
              </w:rPr>
              <w:t>011901738</w:t>
            </w:r>
          </w:p>
        </w:tc>
        <w:tc>
          <w:tcPr>
            <w:vAlign w:val="center"/>
          </w:tcPr>
          <w:p>
            <w:pPr>
              <w:jc w:val="center"/>
            </w:pPr>
            <w:r>
              <w:rPr>
                <w:color w:val="000000"/>
                <w:sz w:val="24"/>
              </w:rPr>
              <w:t>19大唐新能SCP003</w:t>
            </w:r>
          </w:p>
        </w:tc>
        <w:tc>
          <w:tcPr>
            <w:vAlign w:val="center"/>
          </w:tcPr>
          <w:p>
            <w:pPr>
              <w:jc w:val="right"/>
            </w:pPr>
            <w:r>
              <w:rPr>
                <w:color w:val="000000"/>
                <w:sz w:val="24"/>
              </w:rPr>
              <w:t>800,000</w:t>
            </w:r>
          </w:p>
        </w:tc>
        <w:tc>
          <w:tcPr>
            <w:vAlign w:val="center"/>
          </w:tcPr>
          <w:p>
            <w:pPr>
              <w:jc w:val="right"/>
            </w:pPr>
            <w:r>
              <w:rPr>
                <w:color w:val="000000"/>
                <w:sz w:val="24"/>
              </w:rPr>
              <w:t>79,975,519.90</w:t>
            </w:r>
          </w:p>
        </w:tc>
        <w:tc>
          <w:tcPr>
            <w:vAlign w:val="center"/>
          </w:tcPr>
          <w:p>
            <w:pPr>
              <w:jc w:val="right"/>
            </w:pPr>
            <w:r>
              <w:rPr>
                <w:color w:val="000000"/>
                <w:sz w:val="24"/>
              </w:rPr>
              <w:t>1.10</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0.0245%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-0.0003%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0.0135%</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138222</w:t>
            </w:r>
          </w:p>
        </w:tc>
        <w:tc>
          <w:tcPr>
            <w:vAlign w:val="center"/>
          </w:tcPr>
          <w:p>
            <w:pPr>
              <w:jc w:val="center"/>
            </w:pPr>
            <w:r>
              <w:rPr>
                <w:color w:val="000000"/>
                <w:sz w:val="24"/>
              </w:rPr>
              <w:t>煦日03A1</w:t>
            </w:r>
          </w:p>
        </w:tc>
        <w:tc>
          <w:tcPr>
            <w:vAlign w:val="center"/>
          </w:tcPr>
          <w:p>
            <w:pPr>
              <w:jc w:val="right"/>
            </w:pPr>
            <w:r>
              <w:rPr>
                <w:color w:val="000000"/>
                <w:sz w:val="24"/>
              </w:rPr>
              <w:t>190,000</w:t>
            </w:r>
          </w:p>
        </w:tc>
        <w:tc>
          <w:tcPr>
            <w:vAlign w:val="center"/>
          </w:tcPr>
          <w:p>
            <w:pPr>
              <w:jc w:val="right"/>
            </w:pPr>
            <w:r>
              <w:rPr>
                <w:color w:val="000000"/>
                <w:sz w:val="24"/>
              </w:rPr>
              <w:t>19,017,100.00</w:t>
            </w:r>
          </w:p>
        </w:tc>
        <w:tc>
          <w:tcPr>
            <w:vAlign w:val="center"/>
          </w:tcPr>
          <w:p>
            <w:pPr>
              <w:jc w:val="right"/>
            </w:pPr>
            <w:r>
              <w:rPr>
                <w:color w:val="000000"/>
                <w:sz w:val="24"/>
              </w:rPr>
              <w:t>0.26</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16,849,422.81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70,000,000.00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86,849,422.81</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交银天益宝货币A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交银天益宝货币E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6,557,902.23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6,568,657,682.10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213,020.09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4,619,625,735.46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3,297,325.07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3,895,972,967.88</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3,473,597.25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7,292,310,449.68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352,026.37</w:t>
            </w:r>
          </w:p>
        </w:tc>
        <w:tc>
          <w:tcPr>
            <w:vAlign w:val="center"/>
          </w:tcPr>
          <w:p>
            <w:pPr>
              <w:jc w:val="right"/>
            </w:pPr>
            <w:r>
              <w:rPr>
                <w:color w:val="000000"/>
                <w:sz w:val="24"/>
              </w:rPr>
              <w:t>352,026.37</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352,026.37</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352,026.37</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注：1、本基金管理人本报告期末持有本基金E类份额50,843,230.23份，占本基金期末E类基金总份额的0.70%，本基金管理人本报告期末持有本基金A类份额0.00份，占本基金期末A类基金总份额的0.00%。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1、中国证监会准予交银施罗德天益宝货币市场基金募集注册的文件； </w:t>
      </w:r>
    </w:p>
    <w:p>
      <w:pPr>
        <w:spacing w:before="29" w:line="288" w:lineRule="auto"/>
        <w:ind w:firstLine="480" w:firstLineChars="200"/>
        <w:rPr>
          <w:color w:val="000000"/>
          <w:sz w:val="24"/>
        </w:rPr>
      </w:pPr>
      <w:r>
        <w:rPr>
          <w:color w:val="000000"/>
          <w:sz w:val="24"/>
        </w:rPr>
        <w:t xml:space="preserve">2、《交银施罗德天益宝货币市场基金基金合同》； </w:t>
      </w:r>
    </w:p>
    <w:p>
      <w:pPr>
        <w:spacing w:before="29" w:line="288" w:lineRule="auto"/>
        <w:ind w:firstLine="480" w:firstLineChars="200"/>
        <w:rPr>
          <w:color w:val="000000"/>
          <w:sz w:val="24"/>
        </w:rPr>
      </w:pPr>
      <w:r>
        <w:rPr>
          <w:color w:val="000000"/>
          <w:sz w:val="24"/>
        </w:rPr>
        <w:t xml:space="preserve">3、《交银施罗德天益宝货币市场基金招募说明书》； </w:t>
      </w:r>
    </w:p>
    <w:p>
      <w:pPr>
        <w:spacing w:before="29" w:line="288" w:lineRule="auto"/>
        <w:ind w:firstLine="480" w:firstLineChars="200"/>
        <w:rPr>
          <w:color w:val="000000"/>
          <w:sz w:val="24"/>
        </w:rPr>
      </w:pPr>
      <w:r>
        <w:rPr>
          <w:color w:val="000000"/>
          <w:sz w:val="24"/>
        </w:rPr>
        <w:t xml:space="preserve">4、《交银施罗德天益宝货币市场基金托管协议》； </w:t>
      </w:r>
    </w:p>
    <w:p>
      <w:pPr>
        <w:spacing w:before="29" w:line="288" w:lineRule="auto"/>
        <w:ind w:firstLine="480" w:firstLineChars="200"/>
        <w:rPr>
          <w:color w:val="000000"/>
          <w:sz w:val="24"/>
        </w:rPr>
      </w:pPr>
      <w:r>
        <w:rPr>
          <w:color w:val="000000"/>
          <w:sz w:val="24"/>
        </w:rPr>
        <w:t xml:space="preserve">5、关于申请募集注册交银施罗德天益宝货币市场基金的法律意见书；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8、报告期内交银施罗德天益宝货币市场基金在指定报刊上各项公告的原稿。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交银施罗德天益宝货币市场基金2019年第4季度报告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