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交银施罗德裕隆纯债债券型证券投资基金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中国邮政储蓄银行股份有限公司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基金托管人中国邮政储蓄银行股份有限公司根据本基金合同规定，于2020年1月20日复核了本报告中的财务指标、净值表现和投资组合报告等内容，保证复核内容不存在虚假记载、误导性陈述或者重大遗漏。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交银裕隆纯债债券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519782</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2016年11月28日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696,210,921.12</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中国邮政储蓄银行股份有限公司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交银裕隆纯债债券A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交银裕隆纯债债券C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519782</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519783</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559,339,643.57</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136,871,277.55</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(2019年10月1日-2019年12月31日)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交银裕隆纯债债券A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交银裕隆纯债债券C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9,098,078.11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2,134,147.99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8,243,409.37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1,889,214.17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0.0144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0.0128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656,970,772.33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159,864,369.74</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1.1745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1.1680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交银裕隆纯债债券A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1.23%</w:t>
            </w:r>
          </w:p>
        </w:tc>
        <w:tc>
          <w:tcPr>
            <w:vAlign w:val="center"/>
          </w:tcPr>
          <w:p>
            <w:pPr>
              <w:jc w:val="center"/>
            </w:pPr>
            <w:r>
              <w:rPr>
                <w:color w:val="000000"/>
                <w:sz w:val="24"/>
              </w:rPr>
              <w:t>0.03%</w:t>
            </w:r>
          </w:p>
        </w:tc>
        <w:tc>
          <w:tcPr>
            <w:vAlign w:val="center"/>
          </w:tcPr>
          <w:p>
            <w:pPr>
              <w:jc w:val="center"/>
            </w:pPr>
            <w:r>
              <w:rPr>
                <w:color w:val="000000"/>
                <w:sz w:val="24"/>
              </w:rPr>
              <w:t>0.62%</w:t>
            </w:r>
          </w:p>
        </w:tc>
        <w:tc>
          <w:tcPr>
            <w:vAlign w:val="center"/>
          </w:tcPr>
          <w:p>
            <w:pPr>
              <w:jc w:val="center"/>
            </w:pPr>
            <w:r>
              <w:rPr>
                <w:color w:val="000000"/>
                <w:sz w:val="24"/>
              </w:rPr>
              <w:t>0.04%</w:t>
            </w:r>
          </w:p>
        </w:tc>
        <w:tc>
          <w:tcPr>
            <w:vAlign w:val="center"/>
          </w:tcPr>
          <w:p>
            <w:pPr>
              <w:jc w:val="center"/>
            </w:pPr>
            <w:r>
              <w:rPr>
                <w:color w:val="000000"/>
                <w:sz w:val="24"/>
              </w:rPr>
              <w:t>0.61%</w:t>
            </w:r>
          </w:p>
        </w:tc>
        <w:tc>
          <w:tcPr>
            <w:vAlign w:val="center"/>
          </w:tcPr>
          <w:p>
            <w:pPr>
              <w:jc w:val="center"/>
            </w:pPr>
            <w:r>
              <w:rPr>
                <w:color w:val="000000"/>
                <w:sz w:val="24"/>
              </w:rPr>
              <w:t>-0.01%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交银裕隆纯债债券C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1.13%</w:t>
            </w:r>
          </w:p>
        </w:tc>
        <w:tc>
          <w:tcPr>
            <w:vAlign w:val="center"/>
          </w:tcPr>
          <w:p>
            <w:pPr>
              <w:jc w:val="center"/>
            </w:pPr>
            <w:r>
              <w:rPr>
                <w:color w:val="000000"/>
                <w:sz w:val="24"/>
              </w:rPr>
              <w:t>0.03%</w:t>
            </w:r>
          </w:p>
        </w:tc>
        <w:tc>
          <w:tcPr>
            <w:vAlign w:val="center"/>
          </w:tcPr>
          <w:p>
            <w:pPr>
              <w:jc w:val="center"/>
            </w:pPr>
            <w:r>
              <w:rPr>
                <w:color w:val="000000"/>
                <w:sz w:val="24"/>
              </w:rPr>
              <w:t>0.62%</w:t>
            </w:r>
          </w:p>
        </w:tc>
        <w:tc>
          <w:tcPr>
            <w:vAlign w:val="center"/>
          </w:tcPr>
          <w:p>
            <w:pPr>
              <w:jc w:val="center"/>
            </w:pPr>
            <w:r>
              <w:rPr>
                <w:color w:val="000000"/>
                <w:sz w:val="24"/>
              </w:rPr>
              <w:t>0.04%</w:t>
            </w:r>
          </w:p>
        </w:tc>
        <w:tc>
          <w:tcPr>
            <w:vAlign w:val="center"/>
          </w:tcPr>
          <w:p>
            <w:pPr>
              <w:jc w:val="center"/>
            </w:pPr>
            <w:r>
              <w:rPr>
                <w:color w:val="000000"/>
                <w:sz w:val="24"/>
              </w:rPr>
              <w:t>0.51%</w:t>
            </w:r>
          </w:p>
        </w:tc>
        <w:tc>
          <w:tcPr>
            <w:vAlign w:val="center"/>
          </w:tcPr>
          <w:p>
            <w:pPr>
              <w:jc w:val="center"/>
            </w:pPr>
            <w:r>
              <w:rPr>
                <w:color w:val="000000"/>
                <w:sz w:val="24"/>
              </w:rPr>
              <w:t>-0.01%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交银施罗德裕隆纯债债券型证券投资基金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2016年11月28日</w:t>
      </w:r>
      <w:r w:rsidR="009A045B" w:rsidRPr="007F52FA">
        <w:rPr>
          <w:rFonts w:ascii="Times New Roman" w:hAnsi="Times New Roman"/>
          <w:sz w:val="24"/>
          <w:szCs w:val="24"/>
        </w:rPr>
        <w:t>至</w:t>
      </w:r>
      <w:r w:rsidRPr="007F52FA">
        <w:rPr>
          <w:rFonts w:ascii="Times New Roman" w:hAnsi="Times New Roman"/>
          <w:sz w:val="24"/>
          <w:szCs w:val="24"/>
        </w:rPr>
        <w:t>2019年12月31日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交银裕隆纯债债券A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交银裕隆纯债债券C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2016-11-28</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3、基金经理（或基金经理小组）期后变动（如有）敬请关注基金管理人发布的相关公告。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中美贸易谈判达成第一阶段协议，海外风险偏好回升，基本面数据略超预期，通胀持续走高。总体来说，基本面数据对债券市场都相对偏空，但债市表现出较强的韧性。长端利率总体呈震荡走势，十年国债收益率从3.14%小幅下行1bp到3.13%。由于资金面总体宽松、机构整体配置压力较大，相对来说确定性较强的中短端债券受到资金的追捧，收益率下行明显。期限利差走阔，收益率曲线明显陡峭化。</w:t>
      </w:r>
    </w:p>
    <w:p>
      <w:pPr>
        <w:spacing w:before="29" w:line="288" w:lineRule="auto"/>
        <w:ind w:firstLine="480" w:firstLineChars="200"/>
        <w:rPr>
          <w:color w:val="000000"/>
          <w:sz w:val="24"/>
        </w:rPr>
      </w:pPr>
      <w:r>
        <w:rPr>
          <w:color w:val="000000"/>
          <w:sz w:val="24"/>
        </w:rPr>
        <w:t>基金操作方面，从绝对收益率、期限利差和杠杆成本角度看，目前一至三年的中高等级信用债性价比较好，本基金以一至三年中高等级信用债为底仓，同时择机配置了部分四至五年的高收益信用债，提高了组合静态收益。</w:t>
      </w:r>
    </w:p>
    <w:p>
      <w:pPr>
        <w:spacing w:before="29" w:line="288" w:lineRule="auto"/>
        <w:ind w:firstLine="480" w:firstLineChars="200"/>
        <w:rPr>
          <w:color w:val="000000"/>
          <w:sz w:val="24"/>
        </w:rPr>
      </w:pPr>
      <w:r>
        <w:rPr>
          <w:color w:val="000000"/>
          <w:sz w:val="24"/>
        </w:rPr>
        <w:t>展望2020年一季度，经济企稳预期增强、专项债供给仍会对债市构成潜在冲击，而降成本环境下货币环境延续宽松。我们预计债市延续震荡行情，票息策略将更占优。</w:t>
      </w:r>
    </w:p>
    <w:p w:rsidP="007C14DF" w:rsidR="00952A72" w:rsidRDefault="00323F25" w:rsidRPr="007F52FA">
      <w:pPr>
        <w:spacing w:before="29" w:line="288" w:lineRule="auto"/>
        <w:ind w:firstLine="480" w:firstLineChars="200"/>
        <w:rPr>
          <w:color w:val="000000"/>
          <w:sz w:val="24"/>
        </w:rPr>
      </w:pPr>
      <w:r w:rsidRPr="007F52FA">
        <w:rPr>
          <w:color w:val="000000"/>
          <w:sz w:val="24"/>
        </w:rPr>
        <w:t>组合操作方面，我们将会控制整体组合久期，辅以合理杠杆水平来增厚组合收益，同时特别关注信用风险。</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1,062,600,000.00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98.30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1,062,600,000.00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98.30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818,003.94</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17,605,728.23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1,081,023,732.17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50,259,000.00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6.15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50,259,000.00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6.15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30,030,000.00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3.68</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943,621,000.00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115.52</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38,690,000.00</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4.74</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1,062,600,000.00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130.09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101801315</w:t>
            </w:r>
          </w:p>
        </w:tc>
        <w:tc>
          <w:tcPr>
            <w:vAlign w:val="center"/>
          </w:tcPr>
          <w:p>
            <w:pPr>
              <w:jc w:val="center"/>
            </w:pPr>
            <w:r>
              <w:rPr>
                <w:color w:val="000000"/>
                <w:sz w:val="24"/>
              </w:rPr>
              <w:t>18福建漳州MTN002</w:t>
            </w:r>
          </w:p>
        </w:tc>
        <w:tc>
          <w:tcPr>
            <w:vAlign w:val="center"/>
          </w:tcPr>
          <w:p>
            <w:pPr>
              <w:jc w:val="right"/>
            </w:pPr>
            <w:r>
              <w:rPr>
                <w:color w:val="000000"/>
                <w:sz w:val="24"/>
              </w:rPr>
              <w:t>500,000</w:t>
            </w:r>
          </w:p>
        </w:tc>
        <w:tc>
          <w:tcPr>
            <w:vAlign w:val="center"/>
          </w:tcPr>
          <w:p>
            <w:pPr>
              <w:jc w:val="right"/>
            </w:pPr>
            <w:r>
              <w:rPr>
                <w:color w:val="000000"/>
                <w:sz w:val="24"/>
              </w:rPr>
              <w:t>51,520,000.00</w:t>
            </w:r>
          </w:p>
        </w:tc>
        <w:tc>
          <w:tcPr>
            <w:vAlign w:val="center"/>
          </w:tcPr>
          <w:p>
            <w:pPr>
              <w:jc w:val="right"/>
            </w:pPr>
            <w:r>
              <w:rPr>
                <w:color w:val="000000"/>
                <w:sz w:val="24"/>
              </w:rPr>
              <w:t>6.31</w:t>
            </w:r>
          </w:p>
        </w:tc>
      </w:tr>
      <w:tr>
        <w:tc>
          <w:tcPr>
            <w:vAlign w:val="center"/>
          </w:tcPr>
          <w:p>
            <w:pPr>
              <w:jc w:val="center"/>
            </w:pPr>
            <w:r>
              <w:rPr>
                <w:color w:val="000000"/>
                <w:sz w:val="24"/>
              </w:rPr>
              <w:t>2</w:t>
            </w:r>
          </w:p>
        </w:tc>
        <w:tc>
          <w:tcPr>
            <w:vAlign w:val="center"/>
          </w:tcPr>
          <w:p>
            <w:pPr>
              <w:jc w:val="center"/>
            </w:pPr>
            <w:r>
              <w:rPr>
                <w:color w:val="000000"/>
                <w:sz w:val="24"/>
              </w:rPr>
              <w:t>101901322</w:t>
            </w:r>
          </w:p>
        </w:tc>
        <w:tc>
          <w:tcPr>
            <w:vAlign w:val="center"/>
          </w:tcPr>
          <w:p>
            <w:pPr>
              <w:jc w:val="center"/>
            </w:pPr>
            <w:r>
              <w:rPr>
                <w:color w:val="000000"/>
                <w:sz w:val="24"/>
              </w:rPr>
              <w:t>19宿迁水务MTN001</w:t>
            </w:r>
          </w:p>
        </w:tc>
        <w:tc>
          <w:tcPr>
            <w:vAlign w:val="center"/>
          </w:tcPr>
          <w:p>
            <w:pPr>
              <w:jc w:val="right"/>
            </w:pPr>
            <w:r>
              <w:rPr>
                <w:color w:val="000000"/>
                <w:sz w:val="24"/>
              </w:rPr>
              <w:t>500,000</w:t>
            </w:r>
          </w:p>
        </w:tc>
        <w:tc>
          <w:tcPr>
            <w:vAlign w:val="center"/>
          </w:tcPr>
          <w:p>
            <w:pPr>
              <w:jc w:val="right"/>
            </w:pPr>
            <w:r>
              <w:rPr>
                <w:color w:val="000000"/>
                <w:sz w:val="24"/>
              </w:rPr>
              <w:t>50,095,000.00</w:t>
            </w:r>
          </w:p>
        </w:tc>
        <w:tc>
          <w:tcPr>
            <w:vAlign w:val="center"/>
          </w:tcPr>
          <w:p>
            <w:pPr>
              <w:jc w:val="right"/>
            </w:pPr>
            <w:r>
              <w:rPr>
                <w:color w:val="000000"/>
                <w:sz w:val="24"/>
              </w:rPr>
              <w:t>6.13</w:t>
            </w:r>
          </w:p>
        </w:tc>
      </w:tr>
      <w:tr>
        <w:tc>
          <w:tcPr>
            <w:vAlign w:val="center"/>
          </w:tcPr>
          <w:p>
            <w:pPr>
              <w:jc w:val="center"/>
            </w:pPr>
            <w:r>
              <w:rPr>
                <w:color w:val="000000"/>
                <w:sz w:val="24"/>
              </w:rPr>
              <w:t>3</w:t>
            </w:r>
          </w:p>
        </w:tc>
        <w:tc>
          <w:tcPr>
            <w:vAlign w:val="center"/>
          </w:tcPr>
          <w:p>
            <w:pPr>
              <w:jc w:val="center"/>
            </w:pPr>
            <w:r>
              <w:rPr>
                <w:color w:val="000000"/>
                <w:sz w:val="24"/>
              </w:rPr>
              <w:t>101900444</w:t>
            </w:r>
          </w:p>
        </w:tc>
        <w:tc>
          <w:tcPr>
            <w:vAlign w:val="center"/>
          </w:tcPr>
          <w:p>
            <w:pPr>
              <w:jc w:val="center"/>
            </w:pPr>
            <w:r>
              <w:rPr>
                <w:color w:val="000000"/>
                <w:sz w:val="24"/>
              </w:rPr>
              <w:t>19南京滨江MTN001</w:t>
            </w:r>
          </w:p>
        </w:tc>
        <w:tc>
          <w:tcPr>
            <w:vAlign w:val="center"/>
          </w:tcPr>
          <w:p>
            <w:pPr>
              <w:jc w:val="right"/>
            </w:pPr>
            <w:r>
              <w:rPr>
                <w:color w:val="000000"/>
                <w:sz w:val="24"/>
              </w:rPr>
              <w:t>400,000</w:t>
            </w:r>
          </w:p>
        </w:tc>
        <w:tc>
          <w:tcPr>
            <w:vAlign w:val="center"/>
          </w:tcPr>
          <w:p>
            <w:pPr>
              <w:jc w:val="right"/>
            </w:pPr>
            <w:r>
              <w:rPr>
                <w:color w:val="000000"/>
                <w:sz w:val="24"/>
              </w:rPr>
              <w:t>40,944,000.00</w:t>
            </w:r>
          </w:p>
        </w:tc>
        <w:tc>
          <w:tcPr>
            <w:vAlign w:val="center"/>
          </w:tcPr>
          <w:p>
            <w:pPr>
              <w:jc w:val="right"/>
            </w:pPr>
            <w:r>
              <w:rPr>
                <w:color w:val="000000"/>
                <w:sz w:val="24"/>
              </w:rPr>
              <w:t>5.01</w:t>
            </w:r>
          </w:p>
        </w:tc>
      </w:tr>
      <w:tr>
        <w:tc>
          <w:tcPr>
            <w:vAlign w:val="center"/>
          </w:tcPr>
          <w:p>
            <w:pPr>
              <w:jc w:val="center"/>
            </w:pPr>
            <w:r>
              <w:rPr>
                <w:color w:val="000000"/>
                <w:sz w:val="24"/>
              </w:rPr>
              <w:t>4</w:t>
            </w:r>
          </w:p>
        </w:tc>
        <w:tc>
          <w:tcPr>
            <w:vAlign w:val="center"/>
          </w:tcPr>
          <w:p>
            <w:pPr>
              <w:jc w:val="center"/>
            </w:pPr>
            <w:r>
              <w:rPr>
                <w:color w:val="000000"/>
                <w:sz w:val="24"/>
              </w:rPr>
              <w:t>101764041</w:t>
            </w:r>
          </w:p>
        </w:tc>
        <w:tc>
          <w:tcPr>
            <w:vAlign w:val="center"/>
          </w:tcPr>
          <w:p>
            <w:pPr>
              <w:jc w:val="center"/>
            </w:pPr>
            <w:r>
              <w:rPr>
                <w:color w:val="000000"/>
                <w:sz w:val="24"/>
              </w:rPr>
              <w:t>17浦口城乡MTN001</w:t>
            </w:r>
          </w:p>
        </w:tc>
        <w:tc>
          <w:tcPr>
            <w:vAlign w:val="center"/>
          </w:tcPr>
          <w:p>
            <w:pPr>
              <w:jc w:val="right"/>
            </w:pPr>
            <w:r>
              <w:rPr>
                <w:color w:val="000000"/>
                <w:sz w:val="24"/>
              </w:rPr>
              <w:t>400,000</w:t>
            </w:r>
          </w:p>
        </w:tc>
        <w:tc>
          <w:tcPr>
            <w:vAlign w:val="center"/>
          </w:tcPr>
          <w:p>
            <w:pPr>
              <w:jc w:val="right"/>
            </w:pPr>
            <w:r>
              <w:rPr>
                <w:color w:val="000000"/>
                <w:sz w:val="24"/>
              </w:rPr>
              <w:t>40,592,000.00</w:t>
            </w:r>
          </w:p>
        </w:tc>
        <w:tc>
          <w:tcPr>
            <w:vAlign w:val="center"/>
          </w:tcPr>
          <w:p>
            <w:pPr>
              <w:jc w:val="right"/>
            </w:pPr>
            <w:r>
              <w:rPr>
                <w:color w:val="000000"/>
                <w:sz w:val="24"/>
              </w:rPr>
              <w:t>4.97</w:t>
            </w:r>
          </w:p>
        </w:tc>
      </w:tr>
      <w:tr>
        <w:tc>
          <w:tcPr>
            <w:vAlign w:val="center"/>
          </w:tcPr>
          <w:p>
            <w:pPr>
              <w:jc w:val="center"/>
            </w:pPr>
            <w:r>
              <w:rPr>
                <w:color w:val="000000"/>
                <w:sz w:val="24"/>
              </w:rPr>
              <w:t>5</w:t>
            </w:r>
          </w:p>
        </w:tc>
        <w:tc>
          <w:tcPr>
            <w:vAlign w:val="center"/>
          </w:tcPr>
          <w:p>
            <w:pPr>
              <w:jc w:val="center"/>
            </w:pPr>
            <w:r>
              <w:rPr>
                <w:color w:val="000000"/>
                <w:sz w:val="24"/>
              </w:rPr>
              <w:t>101660028</w:t>
            </w:r>
          </w:p>
        </w:tc>
        <w:tc>
          <w:tcPr>
            <w:vAlign w:val="center"/>
          </w:tcPr>
          <w:p>
            <w:pPr>
              <w:jc w:val="center"/>
            </w:pPr>
            <w:r>
              <w:rPr>
                <w:color w:val="000000"/>
                <w:sz w:val="24"/>
              </w:rPr>
              <w:t>16盐城城南MTN001</w:t>
            </w:r>
          </w:p>
        </w:tc>
        <w:tc>
          <w:tcPr>
            <w:vAlign w:val="center"/>
          </w:tcPr>
          <w:p>
            <w:pPr>
              <w:jc w:val="right"/>
            </w:pPr>
            <w:r>
              <w:rPr>
                <w:color w:val="000000"/>
                <w:sz w:val="24"/>
              </w:rPr>
              <w:t>400,000</w:t>
            </w:r>
          </w:p>
        </w:tc>
        <w:tc>
          <w:tcPr>
            <w:vAlign w:val="center"/>
          </w:tcPr>
          <w:p>
            <w:pPr>
              <w:jc w:val="right"/>
            </w:pPr>
            <w:r>
              <w:rPr>
                <w:color w:val="000000"/>
                <w:sz w:val="24"/>
              </w:rPr>
              <w:t>40,344,000.00</w:t>
            </w:r>
          </w:p>
        </w:tc>
        <w:tc>
          <w:tcPr>
            <w:vAlign w:val="center"/>
          </w:tcPr>
          <w:p>
            <w:pPr>
              <w:jc w:val="right"/>
            </w:pPr>
            <w:r>
              <w:rPr>
                <w:color w:val="000000"/>
                <w:sz w:val="24"/>
              </w:rPr>
              <w:t>4.94</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1,499.55</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17,430,206.79</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174,021.89</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17,605,728.23</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交银裕隆纯债债券A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交银裕隆纯债债券C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675,307,087.87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151,224,976.14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6,593,274.83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4,716,144.85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122,560,719.13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19,069,843.44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559,339,643.57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136,871,277.55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464,291,600.21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464,291,600.21</w:t>
            </w:r>
          </w:p>
        </w:tc>
        <w:tc>
          <w:tcPr>
            <w:vAlign w:val="center"/>
          </w:tcPr>
          <w:p>
            <w:pPr>
              <w:jc w:val="center"/>
            </w:pPr>
            <w:r>
              <w:rPr>
                <w:rFonts w:ascii="宋体" w:hAnsi="宋体" w:hint="eastAsia"/>
                <w:color w:val="000000"/>
                <w:kern w:val="0"/>
                <w:szCs w:val="21"/>
              </w:rPr>
              <w:t>66.69%</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8.2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1、中国证监会准予交银施罗德裕隆纯债债券型证券投资基金募集注册的文件；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2、《交银施罗德裕隆纯债债券型证券投资基金基金合同》；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3、《交银施罗德裕隆纯债债券型证券投资基金招募说明书》；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4、《交银施罗德裕隆纯债债券型证券投资基金托管协议》；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5、关于申请募集注册交银施罗德裕隆纯债债券型证券投资基金的法律意见书；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8、报告期内交银施罗德裕隆纯债债券型证券投资基金在指定报刊上各项公告的原稿。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10F55">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10F55">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A0963" w:rsidRDefault="006A0963">
      <w:r>
        <w:separator/>
      </w:r>
    </w:p>
  </w:footnote>
  <w:footnote w:id="0" w:type="continuationSeparator">
    <w:p w:rsidR="006A0963" w:rsidRDefault="006A096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交银施罗德裕隆纯债债券型证券投资基金2019年第4季度报告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4E0A-9053-45FF-AFA1-C8F6CF3B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251</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2019-10-16T02:01:00Z</dcterms:modified>
  <cp:revision>403</cp:revision>
</cp:coreProperties>
</file>