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交银施罗德精选混合型证券投资基金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2005年9月29日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7,457,562,962.33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75%×沪深300指数+25%×中证综合债券指数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378,968,032.65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745,718,343.33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0.1031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6,170,535,478.38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0.8274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14.44%</w:t>
            </w:r>
          </w:p>
        </w:tc>
        <w:tc>
          <w:tcPr>
            <w:vAlign w:val="center"/>
          </w:tcPr>
          <w:p>
            <w:pPr>
              <w:jc w:val="center"/>
            </w:pPr>
            <w:r>
              <w:rPr>
                <w:color w:val="000000"/>
                <w:sz w:val="24"/>
                <w:szCs w:val="24"/>
              </w:rPr>
              <w:t>0.76%</w:t>
            </w:r>
          </w:p>
        </w:tc>
        <w:tc>
          <w:tcPr>
            <w:vAlign w:val="center"/>
          </w:tcPr>
          <w:p>
            <w:pPr>
              <w:jc w:val="center"/>
            </w:pPr>
            <w:r>
              <w:rPr>
                <w:color w:val="000000"/>
                <w:sz w:val="24"/>
                <w:szCs w:val="24"/>
              </w:rPr>
              <w:t>5.85%</w:t>
            </w:r>
          </w:p>
        </w:tc>
        <w:tc>
          <w:tcPr>
            <w:vAlign w:val="center"/>
          </w:tcPr>
          <w:p>
            <w:pPr>
              <w:jc w:val="center"/>
            </w:pPr>
            <w:r>
              <w:rPr>
                <w:color w:val="000000"/>
                <w:sz w:val="24"/>
                <w:szCs w:val="24"/>
              </w:rPr>
              <w:t>0.55%</w:t>
            </w:r>
          </w:p>
        </w:tc>
        <w:tc>
          <w:tcPr>
            <w:vAlign w:val="center"/>
          </w:tcPr>
          <w:p>
            <w:pPr>
              <w:jc w:val="center"/>
            </w:pPr>
            <w:r>
              <w:rPr>
                <w:color w:val="000000"/>
                <w:sz w:val="24"/>
                <w:szCs w:val="24"/>
              </w:rPr>
              <w:t>8.59%</w:t>
            </w:r>
          </w:p>
        </w:tc>
        <w:tc>
          <w:tcPr>
            <w:vAlign w:val="center"/>
          </w:tcPr>
          <w:p>
            <w:pPr>
              <w:jc w:val="center"/>
            </w:pPr>
            <w:r>
              <w:rPr>
                <w:color w:val="000000"/>
                <w:sz w:val="24"/>
                <w:szCs w:val="24"/>
              </w:rPr>
              <w:t>0.21%</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沪深300指数+25%×中信全债指数”变更为“75%×沪深300指数+25%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交银施罗德精选混合型证券投资基金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2005年9月29日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王崇</w:t>
            </w:r>
          </w:p>
        </w:tc>
        <w:tc>
          <w:tcPr>
            <w:vAlign w:val="center"/>
          </w:tcPr>
          <w:p>
            <w:pPr>
              <w:jc w:val="center"/>
            </w:pPr>
            <w:r>
              <w:rPr>
                <w:color w:val="000000"/>
                <w:sz w:val="24"/>
                <w:szCs w:val="24"/>
              </w:rPr>
              <w:t>交银精选混合、交银新成长混合、交银瑞丰混合的基金经理，公司权益投资副总监</w:t>
            </w:r>
          </w:p>
        </w:tc>
        <w:tc>
          <w:tcPr>
            <w:vAlign w:val="center"/>
          </w:tcPr>
          <w:p>
            <w:pPr>
              <w:jc w:val="center"/>
            </w:pPr>
            <w:r>
              <w:rPr>
                <w:color w:val="000000"/>
                <w:sz w:val="24"/>
                <w:szCs w:val="24"/>
              </w:rPr>
              <w:t>2017-06-03</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王崇先生，北京大学金融学博士。2008年加入交银施罗德基金管理有限公司，历任行业分析师、高级研究员。</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 xml:space="preserve">2019年四季度国内经济增速有所企稳，通胀分化，受猪肉价格同比大幅走高影响，CPI继续攀升并过4%，PPI在三季度变负后于四季度继续走低到-1%以下。四季度政策层面延续稳健略宽松货币政策，积极引导企业融资成本下行，同时强调房炒不住，鼓励科技创新。四季度A股市场行情扩散和分化并存，其中，以半导体为首的电子行业延续强势涨幅居前，新能源汽车板块异军突起，而以食品饮料和医药为首的大消费板块4季度涨幅靠后。传统行业中景气高位的建材工程机械等龙头股价不断创历史新高，低估值板块如大金融行业估值略有修复。 </w:t>
      </w:r>
    </w:p>
    <w:p>
      <w:pPr>
        <w:spacing w:before="29" w:line="288" w:lineRule="auto"/>
        <w:ind w:firstLine="480" w:firstLineChars="200"/>
        <w:rPr>
          <w:color w:val="000000"/>
          <w:sz w:val="24"/>
          <w:szCs w:val="24"/>
        </w:rPr>
      </w:pPr>
      <w:r>
        <w:rPr>
          <w:color w:val="000000"/>
          <w:sz w:val="24"/>
          <w:szCs w:val="24"/>
        </w:rPr>
        <w:t>本基金四季度大部分时间保持中性略高仓位，坚持自下而上选择相对安全并有望获取绝对收益标的，个股集中度略有上升。行业层面，降低医药、教育以及检测等防御性行业配置比例，提高大金融、计算机和新能源汽车行业配置比例。从四季度整体表现来看，本基金跑赢业绩比较基准。</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一季度，我们维持谨慎乐观态度。考虑到目前的经济状况、利率水平以及政策取向，我们仍旧认为大类资产配置中权益最优，从估值盈利匹配度来看，有不少传统行业优质公司股票仍旧值得投资和持有。另一方面，我们将高度重视通胀风险，谨防CPI回落幅度和速度低于预期带来市场波动。其次，长期逻辑通畅的新兴产业（如医疗服务、创新药、半导体、新能源汽车）经历2019年大幅上涨后估值处于历史高位，未来将进入景气和业绩验证阶段，从历史来看，大概率相当一批公司业绩会低于预期。再次，核心资产的概念已深入人心，相关核心资产股票已不再便宜，那么简单抓龙头买入持有可能已经不再那么有效，至少要有预期未来收益率可能会下降。本基金后续继续关注一二线房地产龙头、医疗服务器械、计算机人工智能、电子科技硬件以及新能源汽车产业链上优质标的，坚守能力圈和安全边际，逆向投资，做中长期布局，努力为基金持有人带来稳健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5,246,052,656.59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83.55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5,246,052,656.59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83.55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290,454,000.00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4.63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290,454,000.00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4.63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698,804,935.41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11.13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43,768,965.86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0.70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6,279,080,557.86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1,522,830,745.56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24.68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738,613,878.45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11.97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1,208,999,926.00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19.59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1,106,389,727.60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17.93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78,637,859.79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6,578.04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123,112,257.24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444,348,483.91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7.20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23,113,200.00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5,246,052,656.59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85.02</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30,413,506</w:t>
            </w:r>
          </w:p>
        </w:tc>
        <w:tc>
          <w:tcPr>
            <w:vAlign w:val="center"/>
          </w:tcPr>
          <w:p>
            <w:pPr>
              <w:jc w:val="right"/>
            </w:pPr>
            <w:r>
              <w:rPr>
                <w:color w:val="000000"/>
                <w:sz w:val="24"/>
                <w:szCs w:val="24"/>
              </w:rPr>
              <w:t>492,090,527.08</w:t>
            </w:r>
          </w:p>
        </w:tc>
        <w:tc>
          <w:tcPr>
            <w:vAlign w:val="center"/>
          </w:tcPr>
          <w:p>
            <w:pPr>
              <w:jc w:val="right"/>
            </w:pPr>
            <w:r>
              <w:rPr>
                <w:color w:val="000000"/>
                <w:sz w:val="24"/>
                <w:szCs w:val="24"/>
              </w:rPr>
              <w:t>7.97</w:t>
            </w:r>
          </w:p>
        </w:tc>
      </w:tr>
      <w:tr>
        <w:tc>
          <w:tcPr>
            <w:vAlign w:val="center"/>
          </w:tcPr>
          <w:p>
            <w:pPr>
              <w:jc w:val="center"/>
            </w:pPr>
            <w:r>
              <w:rPr>
                <w:color w:val="000000"/>
                <w:sz w:val="24"/>
                <w:szCs w:val="24"/>
              </w:rPr>
              <w:t>2</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17,451,519</w:t>
            </w:r>
          </w:p>
        </w:tc>
        <w:tc>
          <w:tcPr>
            <w:vAlign w:val="center"/>
          </w:tcPr>
          <w:p>
            <w:pPr>
              <w:jc w:val="right"/>
            </w:pPr>
            <w:r>
              <w:rPr>
                <w:color w:val="000000"/>
                <w:sz w:val="24"/>
                <w:szCs w:val="24"/>
              </w:rPr>
              <w:t>459,149,464.89</w:t>
            </w:r>
          </w:p>
        </w:tc>
        <w:tc>
          <w:tcPr>
            <w:vAlign w:val="center"/>
          </w:tcPr>
          <w:p>
            <w:pPr>
              <w:jc w:val="right"/>
            </w:pPr>
            <w:r>
              <w:rPr>
                <w:color w:val="000000"/>
                <w:sz w:val="24"/>
                <w:szCs w:val="24"/>
              </w:rPr>
              <w:t>7.44</w:t>
            </w:r>
          </w:p>
        </w:tc>
      </w:tr>
      <w:tr>
        <w:tc>
          <w:tcPr>
            <w:vAlign w:val="center"/>
          </w:tcPr>
          <w:p>
            <w:pPr>
              <w:jc w:val="center"/>
            </w:pPr>
            <w:r>
              <w:rPr>
                <w:color w:val="000000"/>
                <w:sz w:val="24"/>
                <w:szCs w:val="24"/>
              </w:rPr>
              <w:t>3</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14,017,994</w:t>
            </w:r>
          </w:p>
        </w:tc>
        <w:tc>
          <w:tcPr>
            <w:vAlign w:val="center"/>
          </w:tcPr>
          <w:p>
            <w:pPr>
              <w:jc w:val="right"/>
            </w:pPr>
            <w:r>
              <w:rPr>
                <w:color w:val="000000"/>
                <w:sz w:val="24"/>
                <w:szCs w:val="24"/>
              </w:rPr>
              <w:t>451,099,046.92</w:t>
            </w:r>
          </w:p>
        </w:tc>
        <w:tc>
          <w:tcPr>
            <w:vAlign w:val="center"/>
          </w:tcPr>
          <w:p>
            <w:pPr>
              <w:jc w:val="right"/>
            </w:pPr>
            <w:r>
              <w:rPr>
                <w:color w:val="000000"/>
                <w:sz w:val="24"/>
                <w:szCs w:val="24"/>
              </w:rPr>
              <w:t>7.31</w:t>
            </w:r>
          </w:p>
        </w:tc>
      </w:tr>
      <w:tr>
        <w:tc>
          <w:tcPr>
            <w:vAlign w:val="center"/>
          </w:tcPr>
          <w:p>
            <w:pPr>
              <w:jc w:val="center"/>
            </w:pPr>
            <w:r>
              <w:rPr>
                <w:color w:val="000000"/>
                <w:sz w:val="24"/>
                <w:szCs w:val="24"/>
              </w:rPr>
              <w:t>4</w:t>
            </w:r>
          </w:p>
        </w:tc>
        <w:tc>
          <w:tcPr>
            <w:vAlign w:val="center"/>
          </w:tcPr>
          <w:p>
            <w:pPr>
              <w:jc w:val="center"/>
            </w:pPr>
            <w:r>
              <w:rPr>
                <w:color w:val="000000"/>
                <w:sz w:val="24"/>
                <w:szCs w:val="24"/>
              </w:rPr>
              <w:t>601601</w:t>
            </w:r>
          </w:p>
        </w:tc>
        <w:tc>
          <w:tcPr>
            <w:vAlign w:val="center"/>
          </w:tcPr>
          <w:p>
            <w:pPr>
              <w:jc w:val="center"/>
            </w:pPr>
            <w:r>
              <w:rPr>
                <w:color w:val="000000"/>
                <w:sz w:val="24"/>
                <w:szCs w:val="24"/>
              </w:rPr>
              <w:t>中国太保</w:t>
            </w:r>
          </w:p>
        </w:tc>
        <w:tc>
          <w:tcPr>
            <w:vAlign w:val="center"/>
          </w:tcPr>
          <w:p>
            <w:pPr>
              <w:jc w:val="right"/>
            </w:pPr>
            <w:r>
              <w:rPr>
                <w:color w:val="000000"/>
                <w:sz w:val="24"/>
                <w:szCs w:val="24"/>
              </w:rPr>
              <w:t>11,634,180</w:t>
            </w:r>
          </w:p>
        </w:tc>
        <w:tc>
          <w:tcPr>
            <w:vAlign w:val="center"/>
          </w:tcPr>
          <w:p>
            <w:pPr>
              <w:jc w:val="right"/>
            </w:pPr>
            <w:r>
              <w:rPr>
                <w:color w:val="000000"/>
                <w:sz w:val="24"/>
                <w:szCs w:val="24"/>
              </w:rPr>
              <w:t>440,237,371.20</w:t>
            </w:r>
          </w:p>
        </w:tc>
        <w:tc>
          <w:tcPr>
            <w:vAlign w:val="center"/>
          </w:tcPr>
          <w:p>
            <w:pPr>
              <w:jc w:val="right"/>
            </w:pPr>
            <w:r>
              <w:rPr>
                <w:color w:val="000000"/>
                <w:sz w:val="24"/>
                <w:szCs w:val="24"/>
              </w:rPr>
              <w:t>7.13</w:t>
            </w:r>
          </w:p>
        </w:tc>
      </w:tr>
      <w:tr>
        <w:tc>
          <w:tcPr>
            <w:vAlign w:val="center"/>
          </w:tcPr>
          <w:p>
            <w:pPr>
              <w:jc w:val="center"/>
            </w:pPr>
            <w:r>
              <w:rPr>
                <w:color w:val="000000"/>
                <w:sz w:val="24"/>
                <w:szCs w:val="24"/>
              </w:rPr>
              <w:t>5</w:t>
            </w:r>
          </w:p>
        </w:tc>
        <w:tc>
          <w:tcPr>
            <w:vAlign w:val="center"/>
          </w:tcPr>
          <w:p>
            <w:pPr>
              <w:jc w:val="center"/>
            </w:pPr>
            <w:r>
              <w:rPr>
                <w:color w:val="000000"/>
                <w:sz w:val="24"/>
                <w:szCs w:val="24"/>
              </w:rPr>
              <w:t>601166</w:t>
            </w:r>
          </w:p>
        </w:tc>
        <w:tc>
          <w:tcPr>
            <w:vAlign w:val="center"/>
          </w:tcPr>
          <w:p>
            <w:pPr>
              <w:jc w:val="center"/>
            </w:pPr>
            <w:r>
              <w:rPr>
                <w:color w:val="000000"/>
                <w:sz w:val="24"/>
                <w:szCs w:val="24"/>
              </w:rPr>
              <w:t>兴业银行</w:t>
            </w:r>
          </w:p>
        </w:tc>
        <w:tc>
          <w:tcPr>
            <w:vAlign w:val="center"/>
          </w:tcPr>
          <w:p>
            <w:pPr>
              <w:jc w:val="right"/>
            </w:pPr>
            <w:r>
              <w:rPr>
                <w:color w:val="000000"/>
                <w:sz w:val="24"/>
                <w:szCs w:val="24"/>
              </w:rPr>
              <w:t>20,819,271</w:t>
            </w:r>
          </w:p>
        </w:tc>
        <w:tc>
          <w:tcPr>
            <w:vAlign w:val="center"/>
          </w:tcPr>
          <w:p>
            <w:pPr>
              <w:jc w:val="right"/>
            </w:pPr>
            <w:r>
              <w:rPr>
                <w:color w:val="000000"/>
                <w:sz w:val="24"/>
                <w:szCs w:val="24"/>
              </w:rPr>
              <w:t>412,221,565.80</w:t>
            </w:r>
          </w:p>
        </w:tc>
        <w:tc>
          <w:tcPr>
            <w:vAlign w:val="center"/>
          </w:tcPr>
          <w:p>
            <w:pPr>
              <w:jc w:val="right"/>
            </w:pPr>
            <w:r>
              <w:rPr>
                <w:color w:val="000000"/>
                <w:sz w:val="24"/>
                <w:szCs w:val="24"/>
              </w:rPr>
              <w:t>6.68</w:t>
            </w:r>
          </w:p>
        </w:tc>
      </w:tr>
      <w:tr>
        <w:tc>
          <w:tcPr>
            <w:vAlign w:val="center"/>
          </w:tcPr>
          <w:p>
            <w:pPr>
              <w:jc w:val="center"/>
            </w:pPr>
            <w:r>
              <w:rPr>
                <w:color w:val="000000"/>
                <w:sz w:val="24"/>
                <w:szCs w:val="24"/>
              </w:rPr>
              <w:t>6</w:t>
            </w:r>
          </w:p>
        </w:tc>
        <w:tc>
          <w:tcPr>
            <w:vAlign w:val="center"/>
          </w:tcPr>
          <w:p>
            <w:pPr>
              <w:jc w:val="center"/>
            </w:pPr>
            <w:r>
              <w:rPr>
                <w:color w:val="000000"/>
                <w:sz w:val="24"/>
                <w:szCs w:val="24"/>
              </w:rPr>
              <w:t>002230</w:t>
            </w:r>
          </w:p>
        </w:tc>
        <w:tc>
          <w:tcPr>
            <w:vAlign w:val="center"/>
          </w:tcPr>
          <w:p>
            <w:pPr>
              <w:jc w:val="center"/>
            </w:pPr>
            <w:r>
              <w:rPr>
                <w:color w:val="000000"/>
                <w:sz w:val="24"/>
                <w:szCs w:val="24"/>
              </w:rPr>
              <w:t>科大讯飞</w:t>
            </w:r>
          </w:p>
        </w:tc>
        <w:tc>
          <w:tcPr>
            <w:vAlign w:val="center"/>
          </w:tcPr>
          <w:p>
            <w:pPr>
              <w:jc w:val="right"/>
            </w:pPr>
            <w:r>
              <w:rPr>
                <w:color w:val="000000"/>
                <w:sz w:val="24"/>
                <w:szCs w:val="24"/>
              </w:rPr>
              <w:t>10,887,000</w:t>
            </w:r>
          </w:p>
        </w:tc>
        <w:tc>
          <w:tcPr>
            <w:vAlign w:val="center"/>
          </w:tcPr>
          <w:p>
            <w:pPr>
              <w:jc w:val="right"/>
            </w:pPr>
            <w:r>
              <w:rPr>
                <w:color w:val="000000"/>
                <w:sz w:val="24"/>
                <w:szCs w:val="24"/>
              </w:rPr>
              <w:t>375,383,760.00</w:t>
            </w:r>
          </w:p>
        </w:tc>
        <w:tc>
          <w:tcPr>
            <w:vAlign w:val="center"/>
          </w:tcPr>
          <w:p>
            <w:pPr>
              <w:jc w:val="right"/>
            </w:pPr>
            <w:r>
              <w:rPr>
                <w:color w:val="000000"/>
                <w:sz w:val="24"/>
                <w:szCs w:val="24"/>
              </w:rPr>
              <w:t>6.08</w:t>
            </w:r>
          </w:p>
        </w:tc>
      </w:tr>
      <w:tr>
        <w:tc>
          <w:tcPr>
            <w:vAlign w:val="center"/>
          </w:tcPr>
          <w:p>
            <w:pPr>
              <w:jc w:val="center"/>
            </w:pPr>
            <w:r>
              <w:rPr>
                <w:color w:val="000000"/>
                <w:sz w:val="24"/>
                <w:szCs w:val="24"/>
              </w:rPr>
              <w:t>7</w:t>
            </w:r>
          </w:p>
        </w:tc>
        <w:tc>
          <w:tcPr>
            <w:vAlign w:val="center"/>
          </w:tcPr>
          <w:p>
            <w:pPr>
              <w:jc w:val="center"/>
            </w:pPr>
            <w:r>
              <w:rPr>
                <w:color w:val="000000"/>
                <w:sz w:val="24"/>
                <w:szCs w:val="24"/>
              </w:rPr>
              <w:t>002044</w:t>
            </w:r>
          </w:p>
        </w:tc>
        <w:tc>
          <w:tcPr>
            <w:vAlign w:val="center"/>
          </w:tcPr>
          <w:p>
            <w:pPr>
              <w:jc w:val="center"/>
            </w:pPr>
            <w:r>
              <w:rPr>
                <w:color w:val="000000"/>
                <w:sz w:val="24"/>
                <w:szCs w:val="24"/>
              </w:rPr>
              <w:t>美年健康</w:t>
            </w:r>
          </w:p>
        </w:tc>
        <w:tc>
          <w:tcPr>
            <w:vAlign w:val="center"/>
          </w:tcPr>
          <w:p>
            <w:pPr>
              <w:jc w:val="right"/>
            </w:pPr>
            <w:r>
              <w:rPr>
                <w:color w:val="000000"/>
                <w:sz w:val="24"/>
                <w:szCs w:val="24"/>
              </w:rPr>
              <w:t>21,725,751</w:t>
            </w:r>
          </w:p>
        </w:tc>
        <w:tc>
          <w:tcPr>
            <w:vAlign w:val="center"/>
          </w:tcPr>
          <w:p>
            <w:pPr>
              <w:jc w:val="right"/>
            </w:pPr>
            <w:r>
              <w:rPr>
                <w:color w:val="000000"/>
                <w:sz w:val="24"/>
                <w:szCs w:val="24"/>
              </w:rPr>
              <w:t>323,496,432.39</w:t>
            </w:r>
          </w:p>
        </w:tc>
        <w:tc>
          <w:tcPr>
            <w:vAlign w:val="center"/>
          </w:tcPr>
          <w:p>
            <w:pPr>
              <w:jc w:val="right"/>
            </w:pPr>
            <w:r>
              <w:rPr>
                <w:color w:val="000000"/>
                <w:sz w:val="24"/>
                <w:szCs w:val="24"/>
              </w:rPr>
              <w:t>5.24</w:t>
            </w:r>
          </w:p>
        </w:tc>
      </w:tr>
      <w:tr>
        <w:tc>
          <w:tcPr>
            <w:vAlign w:val="center"/>
          </w:tcPr>
          <w:p>
            <w:pPr>
              <w:jc w:val="center"/>
            </w:pPr>
            <w:r>
              <w:rPr>
                <w:color w:val="000000"/>
                <w:sz w:val="24"/>
                <w:szCs w:val="24"/>
              </w:rPr>
              <w:t>8</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5,211,991</w:t>
            </w:r>
          </w:p>
        </w:tc>
        <w:tc>
          <w:tcPr>
            <w:vAlign w:val="center"/>
          </w:tcPr>
          <w:p>
            <w:pPr>
              <w:jc w:val="right"/>
            </w:pPr>
            <w:r>
              <w:rPr>
                <w:color w:val="000000"/>
                <w:sz w:val="24"/>
                <w:szCs w:val="24"/>
              </w:rPr>
              <w:t>190,237,671.50</w:t>
            </w:r>
          </w:p>
        </w:tc>
        <w:tc>
          <w:tcPr>
            <w:vAlign w:val="center"/>
          </w:tcPr>
          <w:p>
            <w:pPr>
              <w:jc w:val="right"/>
            </w:pPr>
            <w:r>
              <w:rPr>
                <w:color w:val="000000"/>
                <w:sz w:val="24"/>
                <w:szCs w:val="24"/>
              </w:rPr>
              <w:t>3.08</w:t>
            </w:r>
          </w:p>
        </w:tc>
      </w:tr>
      <w:tr>
        <w:tc>
          <w:tcPr>
            <w:vAlign w:val="center"/>
          </w:tcPr>
          <w:p>
            <w:pPr>
              <w:jc w:val="center"/>
            </w:pPr>
            <w:r>
              <w:rPr>
                <w:color w:val="000000"/>
                <w:sz w:val="24"/>
                <w:szCs w:val="24"/>
              </w:rPr>
              <w:t>9</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6,790,765</w:t>
            </w:r>
          </w:p>
        </w:tc>
        <w:tc>
          <w:tcPr>
            <w:vAlign w:val="center"/>
          </w:tcPr>
          <w:p>
            <w:pPr>
              <w:jc w:val="right"/>
            </w:pPr>
            <w:r>
              <w:rPr>
                <w:color w:val="000000"/>
                <w:sz w:val="24"/>
                <w:szCs w:val="24"/>
              </w:rPr>
              <w:t>187,696,744.60</w:t>
            </w:r>
          </w:p>
        </w:tc>
        <w:tc>
          <w:tcPr>
            <w:vAlign w:val="center"/>
          </w:tcPr>
          <w:p>
            <w:pPr>
              <w:jc w:val="right"/>
            </w:pPr>
            <w:r>
              <w:rPr>
                <w:color w:val="000000"/>
                <w:sz w:val="24"/>
                <w:szCs w:val="24"/>
              </w:rPr>
              <w:t>3.04</w:t>
            </w:r>
          </w:p>
        </w:tc>
      </w:tr>
      <w:tr>
        <w:tc>
          <w:tcPr>
            <w:vAlign w:val="center"/>
          </w:tcPr>
          <w:p>
            <w:pPr>
              <w:jc w:val="center"/>
            </w:pPr>
            <w:r>
              <w:rPr>
                <w:color w:val="000000"/>
                <w:sz w:val="24"/>
                <w:szCs w:val="24"/>
              </w:rPr>
              <w:t>10</w:t>
            </w:r>
          </w:p>
        </w:tc>
        <w:tc>
          <w:tcPr>
            <w:vAlign w:val="center"/>
          </w:tcPr>
          <w:p>
            <w:pPr>
              <w:jc w:val="center"/>
            </w:pPr>
            <w:r>
              <w:rPr>
                <w:color w:val="000000"/>
                <w:sz w:val="24"/>
                <w:szCs w:val="24"/>
              </w:rPr>
              <w:t>601398</w:t>
            </w:r>
          </w:p>
        </w:tc>
        <w:tc>
          <w:tcPr>
            <w:vAlign w:val="center"/>
          </w:tcPr>
          <w:p>
            <w:pPr>
              <w:jc w:val="center"/>
            </w:pPr>
            <w:r>
              <w:rPr>
                <w:color w:val="000000"/>
                <w:sz w:val="24"/>
                <w:szCs w:val="24"/>
              </w:rPr>
              <w:t>工商银行</w:t>
            </w:r>
          </w:p>
        </w:tc>
        <w:tc>
          <w:tcPr>
            <w:vAlign w:val="center"/>
          </w:tcPr>
          <w:p>
            <w:pPr>
              <w:jc w:val="right"/>
            </w:pPr>
            <w:r>
              <w:rPr>
                <w:color w:val="000000"/>
                <w:sz w:val="24"/>
                <w:szCs w:val="24"/>
              </w:rPr>
              <w:t>30,500,475</w:t>
            </w:r>
          </w:p>
        </w:tc>
        <w:tc>
          <w:tcPr>
            <w:vAlign w:val="center"/>
          </w:tcPr>
          <w:p>
            <w:pPr>
              <w:jc w:val="right"/>
            </w:pPr>
            <w:r>
              <w:rPr>
                <w:color w:val="000000"/>
                <w:sz w:val="24"/>
                <w:szCs w:val="24"/>
              </w:rPr>
              <w:t>179,342,793.00</w:t>
            </w:r>
          </w:p>
        </w:tc>
        <w:tc>
          <w:tcPr>
            <w:vAlign w:val="center"/>
          </w:tcPr>
          <w:p>
            <w:pPr>
              <w:jc w:val="right"/>
            </w:pPr>
            <w:r>
              <w:rPr>
                <w:color w:val="000000"/>
                <w:sz w:val="24"/>
                <w:szCs w:val="24"/>
              </w:rPr>
              <w:t>2.91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290,454,000.00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290,454,000.00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290,454,000.00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2,400,000</w:t>
            </w:r>
          </w:p>
        </w:tc>
        <w:tc>
          <w:tcPr>
            <w:vAlign w:val="center"/>
          </w:tcPr>
          <w:p>
            <w:pPr>
              <w:jc w:val="right"/>
            </w:pPr>
            <w:r>
              <w:rPr>
                <w:color w:val="000000"/>
                <w:sz w:val="24"/>
                <w:szCs w:val="24"/>
              </w:rPr>
              <w:t>240,384,000.00</w:t>
            </w:r>
          </w:p>
        </w:tc>
        <w:tc>
          <w:tcPr>
            <w:vAlign w:val="center"/>
          </w:tcPr>
          <w:p>
            <w:pPr>
              <w:jc w:val="right"/>
            </w:pPr>
            <w:r>
              <w:rPr>
                <w:color w:val="000000"/>
                <w:sz w:val="24"/>
                <w:szCs w:val="24"/>
              </w:rPr>
              <w:t>3.90</w:t>
            </w:r>
          </w:p>
        </w:tc>
      </w:tr>
      <w:tr>
        <w:tc>
          <w:tcPr>
            <w:vAlign w:val="center"/>
          </w:tcPr>
          <w:p>
            <w:pPr>
              <w:jc w:val="center"/>
            </w:pPr>
            <w:r>
              <w:rPr>
                <w:color w:val="000000"/>
                <w:sz w:val="24"/>
                <w:szCs w:val="24"/>
              </w:rPr>
              <w:t>2</w:t>
            </w:r>
          </w:p>
        </w:tc>
        <w:tc>
          <w:tcPr>
            <w:vAlign w:val="center"/>
          </w:tcPr>
          <w:p>
            <w:pPr>
              <w:jc w:val="center"/>
            </w:pPr>
            <w:r>
              <w:rPr>
                <w:color w:val="000000"/>
                <w:sz w:val="24"/>
                <w:szCs w:val="24"/>
              </w:rPr>
              <w:t>190211</w:t>
            </w:r>
          </w:p>
        </w:tc>
        <w:tc>
          <w:tcPr>
            <w:vAlign w:val="center"/>
          </w:tcPr>
          <w:p>
            <w:pPr>
              <w:jc w:val="center"/>
            </w:pPr>
            <w:r>
              <w:rPr>
                <w:color w:val="000000"/>
                <w:sz w:val="24"/>
                <w:szCs w:val="24"/>
              </w:rPr>
              <w:t>19国开11</w:t>
            </w:r>
          </w:p>
        </w:tc>
        <w:tc>
          <w:tcPr>
            <w:vAlign w:val="center"/>
          </w:tcPr>
          <w:p>
            <w:pPr>
              <w:jc w:val="right"/>
            </w:pPr>
            <w:r>
              <w:rPr>
                <w:color w:val="000000"/>
                <w:sz w:val="24"/>
                <w:szCs w:val="24"/>
              </w:rPr>
              <w:t>500,000</w:t>
            </w:r>
          </w:p>
        </w:tc>
        <w:tc>
          <w:tcPr>
            <w:vAlign w:val="center"/>
          </w:tcPr>
          <w:p>
            <w:pPr>
              <w:jc w:val="right"/>
            </w:pPr>
            <w:r>
              <w:rPr>
                <w:color w:val="000000"/>
                <w:sz w:val="24"/>
                <w:szCs w:val="24"/>
              </w:rPr>
              <w:t>50,070,000.00</w:t>
            </w:r>
          </w:p>
        </w:tc>
        <w:tc>
          <w:tcPr>
            <w:vAlign w:val="center"/>
          </w:tcPr>
          <w:p>
            <w:pPr>
              <w:jc w:val="right"/>
            </w:pPr>
            <w:r>
              <w:rPr>
                <w:color w:val="000000"/>
                <w:sz w:val="24"/>
                <w:szCs w:val="24"/>
              </w:rPr>
              <w:t>0.81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 xml:space="preserve">本基金本报告期末未持有股指期货。 </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1,810,080.77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21,968,683.54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4,917,908.55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15,072,293.00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43,768,965.86</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6,840,832,243.69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1,617,220,449.73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1,000,489,731.09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7,457,562,962.33</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 </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1、中国证监会批准交银施罗德精选股票证券投资基金募集的文件； </w:t>
      </w:r>
    </w:p>
    <w:p>
      <w:pPr>
        <w:spacing w:before="29" w:line="288" w:lineRule="auto"/>
        <w:ind w:firstLine="480" w:firstLineChars="200"/>
        <w:rPr>
          <w:color w:val="000000"/>
          <w:sz w:val="24"/>
          <w:szCs w:val="24"/>
        </w:rPr>
      </w:pPr>
      <w:r>
        <w:rPr>
          <w:color w:val="000000"/>
          <w:sz w:val="24"/>
          <w:szCs w:val="24"/>
        </w:rPr>
        <w:t xml:space="preserve">2、《交银施罗德精选混合型证券投资基金基金合同》；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3、《交银施罗德精选混合型证券投资基金招募说明书》；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4、《交银施罗德精选混合型证券投资基金托管协议》；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5、关于募集交银施罗德精选股票证券投资基金之法律意见书；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8、报告期内交银施罗德精选混合型证券投资基金在指定报刊上各项公告的原稿。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交银施罗德精选混合型证券投资基金2019年第4季度报告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