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2015年1月19日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510,734,533.09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在严格控制风险和追求资产稳健增值的基础上,力求获得高于业绩基准的投资收益。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pPr>
              <w:adjustRightInd w:val="0"/>
              <w:spacing w:before="29" w:line="288" w:lineRule="auto"/>
              <w:ind w:left="17"/>
              <w:jc w:val="left"/>
              <w:rPr>
                <w:color w:val="000000"/>
                <w:sz w:val="24"/>
              </w:rPr>
            </w:pPr>
            <w:r>
              <w:rPr>
                <w:color w:val="000000"/>
                <w:kern w:val="0"/>
                <w:sz w:val="24"/>
              </w:rPr>
              <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交银丰享收益债券A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交银丰享收益债券C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519746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519748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502,084,984.82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8,649,548.27</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注：本基金自2017年1月20日起转为开放式运作。</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交银丰享收益债券A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交银丰享收益债券C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10,338,095.24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86,508.37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10,345,589.67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86,161.99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0.0206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0.0095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1,047,583,431.28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9,375,769.08</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2.086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1.084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交银丰享收益债券A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0.97%</w:t>
            </w:r>
          </w:p>
        </w:tc>
        <w:tc>
          <w:tcPr>
            <w:vAlign w:val="center"/>
          </w:tcPr>
          <w:p>
            <w:pPr>
              <w:jc w:val="center"/>
            </w:pPr>
            <w:r>
              <w:rPr>
                <w:color w:val="000000"/>
                <w:sz w:val="24"/>
              </w:rPr>
              <w:t>0.03%</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0.35%</w:t>
            </w:r>
          </w:p>
        </w:tc>
        <w:tc>
          <w:tcPr>
            <w:vAlign w:val="center"/>
          </w:tcPr>
          <w:p>
            <w:pPr>
              <w:jc w:val="center"/>
            </w:pPr>
            <w:r>
              <w:rPr>
                <w:color w:val="000000"/>
                <w:sz w:val="24"/>
              </w:rPr>
              <w:t>-0.01%</w:t>
            </w:r>
          </w:p>
        </w:tc>
      </w:tr>
    </w:tbl>
    <w:p w:rsidP="007C14DF" w:rsidR="009238DB" w:rsidRDefault="004425E8" w:rsidRPr="007F52FA">
      <w:pPr>
        <w:autoSpaceDE w:val="0"/>
        <w:autoSpaceDN w:val="0"/>
        <w:adjustRightInd w:val="0"/>
        <w:spacing w:before="29" w:line="288" w:lineRule="auto"/>
        <w:jc w:val="left"/>
        <w:rPr>
          <w:color w:val="000000"/>
          <w:sz w:val="24"/>
        </w:rPr>
      </w:pPr>
      <w:r w:rsidRPr="007F52FA">
        <w:rPr>
          <w:color w:val="000000"/>
          <w:sz w:val="24"/>
        </w:rPr>
        <w:t/>
      </w:r>
      <w:r w:rsidR="00243122" w:rsidRPr="007F52FA">
        <w:rPr>
          <w:color w:val="000000"/>
          <w:sz w:val="24"/>
        </w:rPr>
        <w:t/>
      </w:r>
      <w:r w:rsidR="0042785F" w:rsidRPr="007F52FA">
        <w:rPr>
          <w:color w:val="000000"/>
          <w:sz w:val="24"/>
        </w:rPr>
        <w:t/>
      </w:r>
      <w:r w:rsidR="00243122" w:rsidRPr="007F52FA">
        <w:rPr>
          <w:color w:val="000000"/>
          <w:sz w:val="24"/>
        </w:rPr>
        <w:t/>
      </w:r>
      <w:r w:rsidRPr="007F52FA">
        <w:rPr>
          <w:color w:val="000000"/>
          <w:sz w:val="24"/>
        </w:rPr>
        <w:t>注：本基金自2017年1月20日起转为开放式运作，本基金的业绩比较基准由“两年期银行定期存款税后收益率”变更为“中债综合全价指数”，3.2.2同。</w:t>
      </w:r>
    </w:p>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交银丰享收益债券C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0.93%</w:t>
            </w:r>
          </w:p>
        </w:tc>
        <w:tc>
          <w:tcPr>
            <w:vAlign w:val="center"/>
          </w:tcPr>
          <w:p>
            <w:pPr>
              <w:jc w:val="center"/>
            </w:pPr>
            <w:r>
              <w:rPr>
                <w:color w:val="000000"/>
                <w:sz w:val="24"/>
              </w:rPr>
              <w:t>0.04%</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0.31%</w:t>
            </w:r>
          </w:p>
        </w:tc>
        <w:tc>
          <w:tcPr>
            <w:vAlign w:val="center"/>
          </w:tcPr>
          <w:p>
            <w:pPr>
              <w:jc w:val="center"/>
            </w:pPr>
            <w:r>
              <w:rPr>
                <w:color w:val="000000"/>
                <w:sz w:val="24"/>
              </w:rPr>
              <w:t>0.00%</w:t>
            </w:r>
          </w:p>
        </w:tc>
      </w:tr>
    </w:tbl>
    <w:p w:rsidP="007C14DF" w:rsidR="00E73221" w:rsidRDefault="00E73221" w:rsidRPr="007F52FA">
      <w:pPr>
        <w:autoSpaceDE w:val="0"/>
        <w:autoSpaceDN w:val="0"/>
        <w:adjustRightInd w:val="0"/>
        <w:spacing w:before="29" w:line="288" w:lineRule="auto"/>
        <w:jc w:val="left"/>
        <w:rPr>
          <w:color w:val="000000"/>
          <w:sz w:val="24"/>
        </w:rPr>
      </w:pPr>
      <w:r w:rsidRPr="007F52FA">
        <w:rPr>
          <w:color w:val="000000"/>
          <w:sz w:val="24"/>
        </w:rPr>
        <w:t/>
      </w:r>
      <w:r w:rsidR="004D614E" w:rsidRPr="007F52FA">
        <w:rPr>
          <w:color w:val="000000"/>
          <w:sz w:val="24"/>
        </w:rPr>
        <w:t/>
      </w:r>
      <w:r w:rsidR="00FE7FBD" w:rsidRPr="007F52FA">
        <w:rPr>
          <w:color w:val="000000"/>
          <w:sz w:val="24"/>
        </w:rPr>
        <w:t>注：本基金自2017年1月20日起转为开放式运作，本基金的业绩比较基准由“两年期银行定期存款税后收益率”变更为“中债综合全价指数”，3.2.2同。</w:t>
      </w:r>
    </w:p>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交银施罗德丰享收益债券型证券投资基金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2015年1月19日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注：本基金自2017年1月20日起，开始销售A类份额，投资者提交的申购申请于2017年1月25日被确认并将有效份额登记在册。图示日期为2017年1月25日至2019年12月31日。</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交银丰享收益债券C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注：图示日期为2015年1月19日至2019年12月31日。本基金建仓期为自基金合同生效日起的6个月。截至建仓期结束，本基金各项资产配置比例符合基金合同及招募说明书有关投资比例的约定。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2015-07-25</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中美贸易谈判达成第一阶段协议，海外风险偏好回升，基本面数据略超预期，通胀持续走高。总体来说，基本面数据对债券市场都相对偏空，但债市表现出较强的韧性。长端利率总体呈震荡走势，十年国债收益率从3.14%小幅下行1bp到3.13%。由于资金面总体宽松、机构整体配置压力较大，相对来说确定性较强的中短端债券受到资金的追捧，收益率下行明显。期限利差走阔，收益率曲线明显陡峭化。</w:t>
      </w:r>
    </w:p>
    <w:p>
      <w:pPr>
        <w:spacing w:before="29" w:line="288" w:lineRule="auto"/>
        <w:ind w:firstLine="480" w:firstLineChars="200"/>
        <w:rPr>
          <w:color w:val="000000"/>
          <w:sz w:val="24"/>
        </w:rPr>
      </w:pPr>
      <w:r>
        <w:rPr>
          <w:color w:val="000000"/>
          <w:sz w:val="24"/>
        </w:rPr>
        <w:t>基金操作方面，从绝对收益率、期限利差和杠杆成本角度看，目前一至三年的中高等级信用债性价比较好。本基金以一至三年中高等级信用债为底仓，同时择机配置了部分中长端利率债，控制整体组合久期，辅以合理杠杆水平来增厚组合收益。</w:t>
      </w:r>
    </w:p>
    <w:p>
      <w:pPr>
        <w:spacing w:before="29" w:line="288" w:lineRule="auto"/>
        <w:ind w:firstLine="480" w:firstLineChars="200"/>
        <w:rPr>
          <w:color w:val="000000"/>
          <w:sz w:val="24"/>
        </w:rPr>
      </w:pPr>
      <w:r>
        <w:rPr>
          <w:color w:val="000000"/>
          <w:sz w:val="24"/>
        </w:rPr>
        <w:t>展望2020年一季度，经济企稳预期增强、专项债供给仍会对债市构成潜在冲击，而降成本环境下货币环境延续宽松。我们预计债市延续震荡行情，票息策略将更占优势。</w:t>
      </w:r>
    </w:p>
    <w:p w:rsidP="007C14DF" w:rsidR="00952A72" w:rsidRDefault="00323F25" w:rsidRPr="007F52FA">
      <w:pPr>
        <w:spacing w:before="29" w:line="288" w:lineRule="auto"/>
        <w:ind w:firstLine="480" w:firstLineChars="200"/>
        <w:rPr>
          <w:color w:val="000000"/>
          <w:sz w:val="24"/>
        </w:rPr>
      </w:pPr>
      <w:r w:rsidRPr="007F52FA">
        <w:rPr>
          <w:color w:val="000000"/>
          <w:sz w:val="24"/>
        </w:rPr>
        <w:t>组合操作方面，本基金将维持中性久期，在保持组合流动性的前提下密切关注长端利率债的交易窗口，同时特别关注信用风险。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1,253,421,000.00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97.70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1,253,421,000.00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97.70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597,104.29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28,937,657.24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2.26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1,282,955,761.53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140,651,000.00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13.31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140,651,000.00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13.31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40,244,000.00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3.81</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1,072,526,000.00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101.47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1,253,421,000.00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118.59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101554021</w:t>
            </w:r>
          </w:p>
        </w:tc>
        <w:tc>
          <w:tcPr>
            <w:vAlign w:val="center"/>
          </w:tcPr>
          <w:p>
            <w:pPr>
              <w:jc w:val="center"/>
            </w:pPr>
            <w:r>
              <w:rPr>
                <w:color w:val="000000"/>
                <w:sz w:val="24"/>
              </w:rPr>
              <w:t>15粤物资MTN001</w:t>
            </w:r>
          </w:p>
        </w:tc>
        <w:tc>
          <w:tcPr>
            <w:vAlign w:val="center"/>
          </w:tcPr>
          <w:p>
            <w:pPr>
              <w:jc w:val="right"/>
            </w:pPr>
            <w:r>
              <w:rPr>
                <w:color w:val="000000"/>
                <w:sz w:val="24"/>
              </w:rPr>
              <w:t>800,000</w:t>
            </w:r>
          </w:p>
        </w:tc>
        <w:tc>
          <w:tcPr>
            <w:vAlign w:val="center"/>
          </w:tcPr>
          <w:p>
            <w:pPr>
              <w:jc w:val="right"/>
            </w:pPr>
            <w:r>
              <w:rPr>
                <w:color w:val="000000"/>
                <w:sz w:val="24"/>
              </w:rPr>
              <w:t>81,200,000.00</w:t>
            </w:r>
          </w:p>
        </w:tc>
        <w:tc>
          <w:tcPr>
            <w:vAlign w:val="center"/>
          </w:tcPr>
          <w:p>
            <w:pPr>
              <w:jc w:val="right"/>
            </w:pPr>
            <w:r>
              <w:rPr>
                <w:color w:val="000000"/>
                <w:sz w:val="24"/>
              </w:rPr>
              <w:t>7.68</w:t>
            </w:r>
          </w:p>
        </w:tc>
      </w:tr>
      <w:tr>
        <w:tc>
          <w:tcPr>
            <w:vAlign w:val="center"/>
          </w:tcPr>
          <w:p>
            <w:pPr>
              <w:jc w:val="center"/>
            </w:pPr>
            <w:r>
              <w:rPr>
                <w:color w:val="000000"/>
                <w:sz w:val="24"/>
              </w:rPr>
              <w:t>2</w:t>
            </w:r>
          </w:p>
        </w:tc>
        <w:tc>
          <w:tcPr>
            <w:vAlign w:val="center"/>
          </w:tcPr>
          <w:p>
            <w:pPr>
              <w:jc w:val="center"/>
            </w:pPr>
            <w:r>
              <w:rPr>
                <w:color w:val="000000"/>
                <w:sz w:val="24"/>
              </w:rPr>
              <w:t>101800181</w:t>
            </w:r>
          </w:p>
        </w:tc>
        <w:tc>
          <w:tcPr>
            <w:vAlign w:val="center"/>
          </w:tcPr>
          <w:p>
            <w:pPr>
              <w:jc w:val="center"/>
            </w:pPr>
            <w:r>
              <w:rPr>
                <w:color w:val="000000"/>
                <w:sz w:val="24"/>
              </w:rPr>
              <w:t>18南昌工业MTN001</w:t>
            </w:r>
          </w:p>
        </w:tc>
        <w:tc>
          <w:tcPr>
            <w:vAlign w:val="center"/>
          </w:tcPr>
          <w:p>
            <w:pPr>
              <w:jc w:val="right"/>
            </w:pPr>
            <w:r>
              <w:rPr>
                <w:color w:val="000000"/>
                <w:sz w:val="24"/>
              </w:rPr>
              <w:t>700,000</w:t>
            </w:r>
          </w:p>
        </w:tc>
        <w:tc>
          <w:tcPr>
            <w:vAlign w:val="center"/>
          </w:tcPr>
          <w:p>
            <w:pPr>
              <w:jc w:val="right"/>
            </w:pPr>
            <w:r>
              <w:rPr>
                <w:color w:val="000000"/>
                <w:sz w:val="24"/>
              </w:rPr>
              <w:t>72,415,000.00</w:t>
            </w:r>
          </w:p>
        </w:tc>
        <w:tc>
          <w:tcPr>
            <w:vAlign w:val="center"/>
          </w:tcPr>
          <w:p>
            <w:pPr>
              <w:jc w:val="right"/>
            </w:pPr>
            <w:r>
              <w:rPr>
                <w:color w:val="000000"/>
                <w:sz w:val="24"/>
              </w:rPr>
              <w:t>6.85</w:t>
            </w:r>
          </w:p>
        </w:tc>
      </w:tr>
      <w:tr>
        <w:tc>
          <w:tcPr>
            <w:vAlign w:val="center"/>
          </w:tcPr>
          <w:p>
            <w:pPr>
              <w:jc w:val="center"/>
            </w:pPr>
            <w:r>
              <w:rPr>
                <w:color w:val="000000"/>
                <w:sz w:val="24"/>
              </w:rPr>
              <w:t>3</w:t>
            </w:r>
          </w:p>
        </w:tc>
        <w:tc>
          <w:tcPr>
            <w:vAlign w:val="center"/>
          </w:tcPr>
          <w:p>
            <w:pPr>
              <w:jc w:val="center"/>
            </w:pPr>
            <w:r>
              <w:rPr>
                <w:color w:val="000000"/>
                <w:sz w:val="24"/>
              </w:rPr>
              <w:t>101800261</w:t>
            </w:r>
          </w:p>
        </w:tc>
        <w:tc>
          <w:tcPr>
            <w:vAlign w:val="center"/>
          </w:tcPr>
          <w:p>
            <w:pPr>
              <w:jc w:val="center"/>
            </w:pPr>
            <w:r>
              <w:rPr>
                <w:color w:val="000000"/>
                <w:sz w:val="24"/>
              </w:rPr>
              <w:t>18即墨旅投MTN001</w:t>
            </w:r>
          </w:p>
        </w:tc>
        <w:tc>
          <w:tcPr>
            <w:vAlign w:val="center"/>
          </w:tcPr>
          <w:p>
            <w:pPr>
              <w:jc w:val="right"/>
            </w:pPr>
            <w:r>
              <w:rPr>
                <w:color w:val="000000"/>
                <w:sz w:val="24"/>
              </w:rPr>
              <w:t>600,000</w:t>
            </w:r>
          </w:p>
        </w:tc>
        <w:tc>
          <w:tcPr>
            <w:vAlign w:val="center"/>
          </w:tcPr>
          <w:p>
            <w:pPr>
              <w:jc w:val="right"/>
            </w:pPr>
            <w:r>
              <w:rPr>
                <w:color w:val="000000"/>
                <w:sz w:val="24"/>
              </w:rPr>
              <w:t>62,208,000.00</w:t>
            </w:r>
          </w:p>
        </w:tc>
        <w:tc>
          <w:tcPr>
            <w:vAlign w:val="center"/>
          </w:tcPr>
          <w:p>
            <w:pPr>
              <w:jc w:val="right"/>
            </w:pPr>
            <w:r>
              <w:rPr>
                <w:color w:val="000000"/>
                <w:sz w:val="24"/>
              </w:rPr>
              <w:t>5.89</w:t>
            </w:r>
          </w:p>
        </w:tc>
      </w:tr>
      <w:tr>
        <w:tc>
          <w:tcPr>
            <w:vAlign w:val="center"/>
          </w:tcPr>
          <w:p>
            <w:pPr>
              <w:jc w:val="center"/>
            </w:pPr>
            <w:r>
              <w:rPr>
                <w:color w:val="000000"/>
                <w:sz w:val="24"/>
              </w:rPr>
              <w:t>4</w:t>
            </w:r>
          </w:p>
        </w:tc>
        <w:tc>
          <w:tcPr>
            <w:vAlign w:val="center"/>
          </w:tcPr>
          <w:p>
            <w:pPr>
              <w:jc w:val="center"/>
            </w:pPr>
            <w:r>
              <w:rPr>
                <w:color w:val="000000"/>
                <w:sz w:val="24"/>
              </w:rPr>
              <w:t>101800640</w:t>
            </w:r>
          </w:p>
        </w:tc>
        <w:tc>
          <w:tcPr>
            <w:vAlign w:val="center"/>
          </w:tcPr>
          <w:p>
            <w:pPr>
              <w:jc w:val="center"/>
            </w:pPr>
            <w:r>
              <w:rPr>
                <w:color w:val="000000"/>
                <w:sz w:val="24"/>
              </w:rPr>
              <w:t>18环球租赁MTN001</w:t>
            </w:r>
          </w:p>
        </w:tc>
        <w:tc>
          <w:tcPr>
            <w:vAlign w:val="center"/>
          </w:tcPr>
          <w:p>
            <w:pPr>
              <w:jc w:val="right"/>
            </w:pPr>
            <w:r>
              <w:rPr>
                <w:color w:val="000000"/>
                <w:sz w:val="24"/>
              </w:rPr>
              <w:t>600,000</w:t>
            </w:r>
          </w:p>
        </w:tc>
        <w:tc>
          <w:tcPr>
            <w:vAlign w:val="center"/>
          </w:tcPr>
          <w:p>
            <w:pPr>
              <w:jc w:val="right"/>
            </w:pPr>
            <w:r>
              <w:rPr>
                <w:color w:val="000000"/>
                <w:sz w:val="24"/>
              </w:rPr>
              <w:t>61,842,000.00</w:t>
            </w:r>
          </w:p>
        </w:tc>
        <w:tc>
          <w:tcPr>
            <w:vAlign w:val="center"/>
          </w:tcPr>
          <w:p>
            <w:pPr>
              <w:jc w:val="right"/>
            </w:pPr>
            <w:r>
              <w:rPr>
                <w:color w:val="000000"/>
                <w:sz w:val="24"/>
              </w:rPr>
              <w:t>5.85</w:t>
            </w:r>
          </w:p>
        </w:tc>
      </w:tr>
      <w:tr>
        <w:tc>
          <w:tcPr>
            <w:vAlign w:val="center"/>
          </w:tcPr>
          <w:p>
            <w:pPr>
              <w:jc w:val="center"/>
            </w:pPr>
            <w:r>
              <w:rPr>
                <w:color w:val="000000"/>
                <w:sz w:val="24"/>
              </w:rPr>
              <w:t>5</w:t>
            </w:r>
          </w:p>
        </w:tc>
        <w:tc>
          <w:tcPr>
            <w:vAlign w:val="center"/>
          </w:tcPr>
          <w:p>
            <w:pPr>
              <w:jc w:val="center"/>
            </w:pPr>
            <w:r>
              <w:rPr>
                <w:color w:val="000000"/>
                <w:sz w:val="24"/>
              </w:rPr>
              <w:t>101800160</w:t>
            </w:r>
          </w:p>
        </w:tc>
        <w:tc>
          <w:tcPr>
            <w:vAlign w:val="center"/>
          </w:tcPr>
          <w:p>
            <w:pPr>
              <w:jc w:val="center"/>
            </w:pPr>
            <w:r>
              <w:rPr>
                <w:color w:val="000000"/>
                <w:sz w:val="24"/>
              </w:rPr>
              <w:t>18港兴港投MTN001</w:t>
            </w:r>
          </w:p>
        </w:tc>
        <w:tc>
          <w:tcPr>
            <w:vAlign w:val="center"/>
          </w:tcPr>
          <w:p>
            <w:pPr>
              <w:jc w:val="right"/>
            </w:pPr>
            <w:r>
              <w:rPr>
                <w:color w:val="000000"/>
                <w:sz w:val="24"/>
              </w:rPr>
              <w:t>500,000</w:t>
            </w:r>
          </w:p>
        </w:tc>
        <w:tc>
          <w:tcPr>
            <w:vAlign w:val="center"/>
          </w:tcPr>
          <w:p>
            <w:pPr>
              <w:jc w:val="right"/>
            </w:pPr>
            <w:r>
              <w:rPr>
                <w:color w:val="000000"/>
                <w:sz w:val="24"/>
              </w:rPr>
              <w:t>51,870,000.00</w:t>
            </w:r>
          </w:p>
        </w:tc>
        <w:tc>
          <w:tcPr>
            <w:vAlign w:val="center"/>
          </w:tcPr>
          <w:p>
            <w:pPr>
              <w:jc w:val="right"/>
            </w:pPr>
            <w:r>
              <w:rPr>
                <w:color w:val="000000"/>
                <w:sz w:val="24"/>
              </w:rPr>
              <w:t>4.91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28,927,128.07</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10,529.17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28,937,657.24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交银丰享收益债券A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交银丰享收益债券C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503,452,961.36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9,219,483.89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703,579.26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452,221.19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2,071,555.80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1,022,156.81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502,084,984.82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8,649,548.27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246,913,580.25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246,913,580.25</w:t>
            </w:r>
          </w:p>
        </w:tc>
        <w:tc>
          <w:tcPr>
            <w:vAlign w:val="center"/>
          </w:tcPr>
          <w:p>
            <w:pPr>
              <w:jc w:val="center"/>
            </w:pPr>
            <w:r>
              <w:rPr>
                <w:rFonts w:ascii="宋体" w:hAnsi="宋体" w:hint="eastAsia"/>
                <w:color w:val="000000"/>
                <w:kern w:val="0"/>
                <w:szCs w:val="21"/>
              </w:rPr>
              <w:t>48.34%</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246,913,086.42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246,913,086.42</w:t>
            </w:r>
          </w:p>
        </w:tc>
        <w:tc>
          <w:tcPr>
            <w:vAlign w:val="center"/>
          </w:tcPr>
          <w:p>
            <w:pPr>
              <w:jc w:val="center"/>
            </w:pPr>
            <w:r>
              <w:rPr>
                <w:rFonts w:ascii="宋体" w:hAnsi="宋体" w:hint="eastAsia"/>
                <w:color w:val="000000"/>
                <w:kern w:val="0"/>
                <w:szCs w:val="21"/>
              </w:rPr>
              <w:t>48.34%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1、中国证监会准予交银施罗德丰享收益债券型证券投资基金募集注册的文件；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2、《交银施罗德丰享收益债券型证券投资基金基金合同》；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3、《交银施罗德丰享收益债券型证券投资基金招募说明书》；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4、《交银施罗德丰享收益债券型证券投资基金托管协议》；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7、关于申请募集注册交银施罗德丰享收益债券型证券投资基金的法律意见书；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8、报告期内交银施罗德丰享收益债券型证券投资基金在指定报刊上各项公告的原稿。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交银施罗德丰享收益债券型证券投资基金2019年第4季度报告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