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FC7F43" w:rsidRDefault="00FC7F4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2D2A00" w:rsidRPr="005858C2">
      <w:pPr>
        <w:spacing w:before="29" w:line="288" w:lineRule="auto"/>
        <w:jc w:val="center"/>
        <w:rPr>
          <w:rFonts w:eastAsiaTheme="minorEastAsia"/>
          <w:b/>
          <w:sz w:val="36"/>
          <w:szCs w:val="36"/>
        </w:rPr>
      </w:pPr>
      <w:r w:rsidRPr="005858C2">
        <w:rPr>
          <w:rFonts w:eastAsiaTheme="minorEastAsia"/>
          <w:b/>
          <w:sz w:val="36"/>
          <w:szCs w:val="36"/>
        </w:rPr>
        <w:t>交银施罗德优择回报灵活配置混合型证券投资基金</w:t>
      </w:r>
    </w:p>
    <w:p w:rsidP="007C14DF" w:rsidR="002D2A00" w:rsidRDefault="002D2A00" w:rsidRPr="005858C2">
      <w:pPr>
        <w:spacing w:before="29" w:line="288" w:lineRule="auto"/>
        <w:jc w:val="center"/>
        <w:rPr>
          <w:rFonts w:eastAsiaTheme="minorEastAsia"/>
          <w:b/>
          <w:sz w:val="36"/>
          <w:szCs w:val="36"/>
        </w:rPr>
      </w:pPr>
      <w:r w:rsidRPr="005858C2">
        <w:rPr>
          <w:rFonts w:eastAsiaTheme="minorEastAsia"/>
          <w:b/>
          <w:sz w:val="36"/>
          <w:szCs w:val="36"/>
        </w:rPr>
        <w:t>2019年第4季度报告</w:t>
      </w:r>
    </w:p>
    <w:p w:rsidP="007C14DF" w:rsidR="009A2283" w:rsidRDefault="00577209" w:rsidRPr="005858C2">
      <w:pPr>
        <w:spacing w:before="29" w:line="288" w:lineRule="auto"/>
        <w:jc w:val="center"/>
        <w:rPr>
          <w:b/>
          <w:sz w:val="36"/>
          <w:szCs w:val="36"/>
        </w:rPr>
      </w:pPr>
      <w:r w:rsidRPr="005858C2">
        <w:rPr>
          <w:b/>
          <w:sz w:val="36"/>
          <w:szCs w:val="36"/>
        </w:rPr>
        <w:t/>
      </w:r>
      <w:r w:rsidR="00121533" w:rsidRPr="005858C2">
        <w:rPr>
          <w:b/>
          <w:sz w:val="36"/>
          <w:szCs w:val="36"/>
        </w:rPr>
        <w:t>2019年12月31日</w:t>
      </w: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657487">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E27360" w:rsidRDefault="00E27360"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rPr>
          <w:color w:val="000000"/>
          <w:sz w:val="24"/>
        </w:rPr>
      </w:pP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基金管理人：</w:t>
      </w:r>
      <w:r w:rsidR="00BF377F" w:rsidRPr="005858C2">
        <w:rPr>
          <w:b/>
          <w:color w:val="000000"/>
          <w:sz w:val="24"/>
        </w:rPr>
        <w:t>交银施罗德基金管理有限公司</w:t>
      </w: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基金托管人：</w:t>
      </w:r>
      <w:r w:rsidR="00BF377F" w:rsidRPr="005858C2">
        <w:rPr>
          <w:b/>
          <w:color w:val="000000"/>
          <w:sz w:val="24"/>
        </w:rPr>
        <w:t>中信银行股份有限公司</w:t>
      </w:r>
    </w:p>
    <w:p w:rsidP="007C14DF" w:rsidR="009A2283" w:rsidRDefault="009A2283" w:rsidRPr="005858C2">
      <w:pPr>
        <w:spacing w:before="29" w:line="288" w:lineRule="auto"/>
        <w:ind w:firstLine="2168" w:firstLineChars="900"/>
        <w:rPr>
          <w:b/>
          <w:sz w:val="24"/>
        </w:rPr>
        <w:sectPr w:rsidR="009A2283" w:rsidRPr="005858C2" w:rsidSect="00D3445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5858C2">
        <w:rPr>
          <w:b/>
          <w:color w:val="000000"/>
          <w:sz w:val="24"/>
        </w:rPr>
        <w:t>报告送出日期：</w:t>
      </w:r>
      <w:r w:rsidR="00D04410" w:rsidRPr="005858C2">
        <w:rPr>
          <w:b/>
          <w:color w:val="000000"/>
          <w:sz w:val="24"/>
        </w:rPr>
        <w:t>二〇二〇年一月二十一日</w:t>
      </w:r>
    </w:p>
    <w:p w:rsidP="000A2988" w:rsidR="009238DB" w:rsidRDefault="009238DB" w:rsidRPr="007F52FA">
      <w:pPr>
        <w:pStyle w:val="1"/>
        <w:spacing w:after="312" w:afterLines="100" w:before="312" w:before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基金托管人中信银行股份有限公司根据本基金合同规定，于2020年1月20日复核了本报告中的财务指标、净值表现和投资组合报告等内容，保证复核内容不存在虚假记载、误导性陈述或者重大遗漏。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rFonts w:eastAsiaTheme="minorEastAsia"/>
          <w:color w:val="000000"/>
          <w:sz w:val="24"/>
        </w:rPr>
      </w:pPr>
      <w:r>
        <w:rPr>
          <w:rFonts w:eastAsiaTheme="minorEastAsia"/>
          <w:color w:val="000000"/>
          <w:sz w:val="24"/>
        </w:rPr>
        <w:t>本报告中财务资料未经审计。</w:t>
      </w:r>
    </w:p>
    <w:p w:rsidP="007C14DF" w:rsidR="009238DB" w:rsidRDefault="00267DA9"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本报告期自2019年10月1日起至12月31日止。</w:t>
      </w:r>
    </w:p>
    <w:p w:rsidP="007C14DF" w:rsidR="00740635" w:rsidRDefault="00740635" w:rsidRPr="007F52FA">
      <w:pPr>
        <w:spacing w:before="29" w:line="288" w:lineRule="auto"/>
        <w:ind w:firstLine="480" w:firstLineChars="200"/>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type="dxa" w:w="899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3048"/>
      </w:tblGrid>
      <w:tr w:rsidR="00A6200E" w:rsidRPr="007F52FA" w:rsidTr="009416C9">
        <w:trPr>
          <w:jc w:val="center"/>
        </w:trPr>
        <w:tc>
          <w:tcPr>
            <w:tcW w:type="dxa" w:w="3023"/>
            <w:vAlign w:val="center"/>
          </w:tcPr>
          <w:p w:rsidP="007C14DF" w:rsidR="00A6200E" w:rsidRDefault="00A6200E" w:rsidRPr="007F52FA">
            <w:pPr>
              <w:adjustRightInd w:val="0"/>
              <w:spacing w:before="29" w:line="288" w:lineRule="auto"/>
              <w:ind w:left="17"/>
              <w:jc w:val="left"/>
              <w:rPr>
                <w:kern w:val="0"/>
                <w:sz w:val="24"/>
              </w:rPr>
            </w:pPr>
            <w:r w:rsidRPr="007F52FA">
              <w:rPr>
                <w:kern w:val="0"/>
                <w:sz w:val="24"/>
              </w:rPr>
              <w:t>基金简称</w:t>
            </w:r>
          </w:p>
        </w:tc>
        <w:tc>
          <w:tcPr>
            <w:tcW w:type="dxa" w:w="5970"/>
            <w:gridSpan w:val="2"/>
            <w:vAlign w:val="center"/>
          </w:tcPr>
          <w:p w:rsidP="007C14DF" w:rsidR="00A6200E" w:rsidRDefault="00A6200E" w:rsidRPr="007F52FA">
            <w:pPr>
              <w:adjustRightInd w:val="0"/>
              <w:spacing w:before="29" w:line="288" w:lineRule="auto"/>
              <w:ind w:left="17"/>
              <w:jc w:val="left"/>
              <w:rPr>
                <w:color w:val="000000"/>
                <w:kern w:val="0"/>
                <w:sz w:val="24"/>
              </w:rPr>
            </w:pPr>
            <w:r w:rsidRPr="007F52FA">
              <w:rPr>
                <w:color w:val="000000"/>
                <w:kern w:val="0"/>
                <w:sz w:val="24"/>
              </w:rPr>
              <w:t>交银优择回报灵活配置混合</w:t>
            </w:r>
          </w:p>
        </w:tc>
      </w:tr>
      <w:tr w:rsidR="00B95753" w:rsidRPr="007F52FA" w:rsidTr="009416C9">
        <w:trPr>
          <w:jc w:val="center"/>
        </w:trPr>
        <w:tc>
          <w:tcPr>
            <w:tcW w:type="dxa" w:w="3023"/>
            <w:vAlign w:val="center"/>
          </w:tcPr>
          <w:p w:rsidP="007C14DF" w:rsidR="00B95753" w:rsidRDefault="00B95753" w:rsidRPr="007F52FA">
            <w:pPr>
              <w:adjustRightInd w:val="0"/>
              <w:spacing w:before="29" w:line="288" w:lineRule="auto"/>
              <w:ind w:left="17"/>
              <w:jc w:val="left"/>
              <w:rPr>
                <w:kern w:val="0"/>
                <w:sz w:val="24"/>
              </w:rPr>
            </w:pPr>
            <w:r w:rsidRPr="007F52FA">
              <w:rPr>
                <w:kern w:val="0"/>
                <w:sz w:val="24"/>
              </w:rPr>
              <w:t>基金主代码</w:t>
            </w:r>
          </w:p>
        </w:tc>
        <w:tc>
          <w:tcPr>
            <w:tcW w:type="dxa" w:w="5970"/>
            <w:gridSpan w:val="2"/>
            <w:tcBorders>
              <w:bottom w:color="auto" w:space="0" w:sz="4" w:val="single"/>
            </w:tcBorders>
            <w:vAlign w:val="center"/>
          </w:tcPr>
          <w:p w:rsidP="007C14DF" w:rsidR="00B95753" w:rsidRDefault="00B95753" w:rsidRPr="007F52FA">
            <w:pPr>
              <w:adjustRightInd w:val="0"/>
              <w:spacing w:before="29" w:line="288" w:lineRule="auto"/>
              <w:ind w:left="17"/>
              <w:jc w:val="left"/>
              <w:rPr>
                <w:color w:val="000000"/>
                <w:kern w:val="0"/>
                <w:sz w:val="24"/>
              </w:rPr>
            </w:pPr>
            <w:r w:rsidRPr="007F52FA">
              <w:rPr>
                <w:color w:val="000000"/>
                <w:kern w:val="0"/>
                <w:sz w:val="24"/>
              </w:rPr>
              <w:t>519770</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基金运作方式</w:t>
            </w:r>
          </w:p>
        </w:tc>
        <w:tc>
          <w:tcPr>
            <w:tcW w:type="dxa" w:w="5970"/>
            <w:gridSpan w:val="2"/>
            <w:tcBorders>
              <w:top w:color="auto" w:space="0" w:sz="4" w:val="single"/>
            </w:tcBorders>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基金合同生效日</w:t>
            </w:r>
          </w:p>
        </w:tc>
        <w:tc>
          <w:tcPr>
            <w:tcW w:type="dxa" w:w="5970"/>
            <w:gridSpan w:val="2"/>
            <w:vAlign w:val="center"/>
          </w:tcPr>
          <w:p w:rsidP="007C14DF" w:rsidR="008532F3" w:rsidRDefault="008532F3" w:rsidRPr="007F52FA">
            <w:pPr>
              <w:adjustRightInd w:val="0"/>
              <w:spacing w:before="29" w:line="288" w:lineRule="auto"/>
              <w:ind w:left="17"/>
              <w:jc w:val="left"/>
              <w:rPr>
                <w:color w:val="000000"/>
                <w:kern w:val="0"/>
                <w:sz w:val="24"/>
              </w:rPr>
            </w:pPr>
            <w:r w:rsidRPr="007F52FA">
              <w:rPr>
                <w:color w:val="000000"/>
                <w:kern w:val="0"/>
                <w:sz w:val="24"/>
              </w:rPr>
              <w:t>2016年4月22日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报告期末基金份额总额</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700,308,559.62</w:t>
            </w:r>
            <w:r w:rsidRPr="007F52FA">
              <w:rPr>
                <w:color w:val="000000"/>
                <w:kern w:val="0"/>
                <w:sz w:val="24"/>
              </w:rPr>
              <w:t>份</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投资目标</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本基金在控制风险并保持基金资产良好的流动性的前提下，通过灵活的资产配置策略和积极主动的投资管理，力争为投资者提供长期稳健的投资回报。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投资策略</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业绩比较基准</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50%×沪深300指数收益率+50%×中债综合全价指数收益率</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风险收益特征</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本基金是一只混合型基金，其风险和预期收益高于债券型基金和货币市场基金，低于股票型基金。属于承担较高风险、预期收益较高的证券投资基金品种。</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基金管理人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基金托管人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kern w:val="0"/>
                <w:sz w:val="24"/>
              </w:rPr>
            </w:pPr>
            <w:r w:rsidRPr="007F52FA">
              <w:rPr>
                <w:color w:val="000000"/>
                <w:sz w:val="24"/>
              </w:rPr>
              <w:t>下属两级基金的基金简称</w:t>
            </w:r>
          </w:p>
        </w:tc>
        <w:tc>
          <w:tcPr>
            <w:tcW w:type="dxa" w:w="2922"/>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交银优择回报灵活配置混合A</w:t>
            </w:r>
          </w:p>
        </w:tc>
        <w:tc>
          <w:tcPr>
            <w:tcW w:type="dxa" w:w="3048"/>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交银优择回报灵活配置混合C</w:t>
            </w:r>
          </w:p>
        </w:tc>
      </w:tr>
      <w:tr w:rsidR="00C23B30" w:rsidRPr="007F52FA" w:rsidTr="009416C9">
        <w:trPr>
          <w:jc w:val="center"/>
        </w:trPr>
        <w:tc>
          <w:tcPr>
            <w:tcW w:type="dxa" w:w="3023"/>
            <w:vAlign w:val="center"/>
          </w:tcPr>
          <w:p w:rsidP="007C14DF" w:rsidR="00C23B30" w:rsidRDefault="007C3DC6">
            <w:pPr>
              <w:adjustRightInd w:val="0"/>
              <w:spacing w:before="29" w:line="288" w:lineRule="auto"/>
              <w:ind w:left="17"/>
              <w:jc w:val="left"/>
              <w:rPr>
                <w:color w:val="000000"/>
                <w:sz w:val="24"/>
              </w:rPr>
            </w:pPr>
            <w:r w:rsidRPr="007F52FA">
              <w:rPr>
                <w:color w:val="000000"/>
                <w:sz w:val="24"/>
              </w:rPr>
              <w:t>下属两级基金的交易代码</w:t>
            </w:r>
          </w:p>
          <w:p w:rsidP="00C01EF2" w:rsidR="00C01EF2" w:rsidRDefault="00C01EF2" w:rsidRPr="007F52FA">
            <w:pPr>
              <w:adjustRightInd w:val="0"/>
              <w:spacing w:before="29" w:line="288" w:lineRule="auto"/>
              <w:ind w:left="17"/>
              <w:jc w:val="left"/>
              <w:rPr>
                <w:color w:val="000000"/>
                <w:sz w:val="24"/>
              </w:rPr>
            </w:pPr>
            <w:r w:rsidRPr="007F52FA">
              <w:rPr>
                <w:color w:themeColor="text1" w:val="000000"/>
                <w:sz w:val="24"/>
              </w:rPr>
              <w:t/>
            </w:r>
            <w:r w:rsidRPr="000E4C40">
              <w:rPr>
                <w:color w:val="000000"/>
                <w:kern w:val="0"/>
                <w:sz w:val="24"/>
              </w:rPr>
              <w:t/>
            </w:r>
            <w:r>
              <w:rPr>
                <w:rFonts w:hint="eastAsia"/>
                <w:color w:val="000000"/>
                <w:kern w:val="0"/>
                <w:sz w:val="24"/>
              </w:rPr>
              <w:t/>
            </w:r>
            <w:r w:rsidRPr="000E4C40">
              <w:rPr>
                <w:sz w:val="24"/>
              </w:rPr>
              <w:t/>
            </w:r>
          </w:p>
        </w:tc>
        <w:tc>
          <w:tcPr>
            <w:tcW w:type="dxa" w:w="2922"/>
            <w:vAlign w:val="center"/>
          </w:tcPr>
          <w:p w:rsidP="007F50FB" w:rsidR="00C23B30" w:rsidRDefault="00C23B30" w:rsidRPr="000E4C40">
            <w:pPr>
              <w:spacing w:before="29" w:line="288" w:lineRule="auto"/>
              <w:jc w:val="left"/>
              <w:rPr>
                <w:sz w:val="24"/>
              </w:rPr>
            </w:pPr>
            <w:r w:rsidRPr="007F52FA">
              <w:rPr>
                <w:color w:themeColor="text1" w:val="000000"/>
                <w:sz w:val="24"/>
              </w:rPr>
              <w:t/>
            </w:r>
            <w:r w:rsidRPr="000E4C40">
              <w:rPr>
                <w:color w:val="000000"/>
                <w:kern w:val="0"/>
                <w:sz w:val="24"/>
              </w:rPr>
              <w:t/>
            </w:r>
            <w:r w:rsidRPr="000E4C40">
              <w:rPr>
                <w:sz w:val="24"/>
              </w:rPr>
              <w:t>519770</w:t>
            </w:r>
          </w:p>
        </w:tc>
        <w:tc>
          <w:tcPr>
            <w:tcW w:type="dxa" w:w="3048"/>
            <w:vAlign w:val="center"/>
          </w:tcPr>
          <w:p w:rsidP="00A52A9E" w:rsidR="00C23B30" w:rsidRDefault="00261F47" w:rsidRPr="000E4C40">
            <w:pPr>
              <w:spacing w:before="29" w:line="288" w:lineRule="auto"/>
              <w:jc w:val="left"/>
              <w:rPr>
                <w:sz w:val="24"/>
              </w:rPr>
            </w:pPr>
            <w:r w:rsidRPr="007F52FA">
              <w:rPr>
                <w:color w:themeColor="text1" w:val="000000"/>
                <w:sz w:val="24"/>
              </w:rPr>
              <w:t/>
            </w:r>
            <w:r w:rsidR="00C23B30" w:rsidRPr="000E4C40">
              <w:rPr>
                <w:color w:val="000000"/>
                <w:kern w:val="0"/>
                <w:sz w:val="24"/>
              </w:rPr>
              <w:t/>
            </w:r>
            <w:r w:rsidR="00C23B30" w:rsidRPr="000E4C40">
              <w:rPr>
                <w:sz w:val="24"/>
              </w:rPr>
              <w:t/>
            </w:r>
            <w:r w:rsidR="00A52A9E">
              <w:rPr>
                <w:sz w:val="24"/>
              </w:rPr>
              <w:t/>
            </w:r>
            <w:r w:rsidR="00C23B30" w:rsidRPr="000E4C40">
              <w:rPr>
                <w:sz w:val="24"/>
              </w:rPr>
              <w:t>519771</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报告期末下属两级基金的</w:t>
            </w:r>
            <w:r w:rsidRPr="007F52FA">
              <w:rPr>
                <w:color w:val="000000"/>
                <w:sz w:val="24"/>
              </w:rPr>
              <w:lastRenderedPageBreak/>
              <w:t>份额总额</w:t>
            </w:r>
          </w:p>
        </w:tc>
        <w:tc>
          <w:tcPr>
            <w:tcW w:type="dxa" w:w="2922"/>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697,300,462.81</w:t>
            </w:r>
            <w:r w:rsidRPr="007F52FA">
              <w:rPr>
                <w:color w:val="000000"/>
                <w:kern w:val="0"/>
                <w:sz w:val="24"/>
              </w:rPr>
              <w:t>份</w:t>
            </w:r>
          </w:p>
        </w:tc>
        <w:tc>
          <w:tcPr>
            <w:tcW w:type="dxa" w:w="3048"/>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3,008,096.81</w:t>
            </w:r>
            <w:r w:rsidRPr="007F52FA">
              <w:rPr>
                <w:color w:val="000000"/>
                <w:kern w:val="0"/>
                <w:sz w:val="24"/>
              </w:rPr>
              <w:t>份</w:t>
            </w:r>
          </w:p>
        </w:tc>
      </w:tr>
    </w:tbl>
    <w:p w:rsidP="007C14DF" w:rsidR="00740635" w:rsidRDefault="00740635" w:rsidRPr="007F52FA">
      <w:pPr>
        <w:autoSpaceDE w:val="0"/>
        <w:autoSpaceDN w:val="0"/>
        <w:adjustRightInd w:val="0"/>
        <w:spacing w:before="29" w:line="288" w:lineRule="auto"/>
        <w:jc w:val="left"/>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P="007C14DF" w:rsidR="009238DB" w:rsidRDefault="009238DB" w:rsidRPr="007F52FA">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9E549D" w:rsidRPr="007F52FA" w:rsidTr="007A5233">
        <w:trPr>
          <w:jc w:val="center"/>
        </w:trPr>
        <w:tc>
          <w:tcPr>
            <w:tcW w:type="dxa" w:w="3402"/>
            <w:vMerge w:val="restart"/>
            <w:vAlign w:val="center"/>
          </w:tcPr>
          <w:p w:rsidP="007C14DF" w:rsidR="009E549D" w:rsidRDefault="009E549D" w:rsidRPr="007F52FA">
            <w:pPr>
              <w:adjustRightInd w:val="0"/>
              <w:spacing w:before="29" w:line="288" w:lineRule="auto"/>
              <w:ind w:left="17"/>
              <w:jc w:val="center"/>
              <w:rPr>
                <w:kern w:val="0"/>
                <w:sz w:val="24"/>
              </w:rPr>
            </w:pPr>
            <w:r w:rsidRPr="007F52FA">
              <w:rPr>
                <w:kern w:val="0"/>
                <w:sz w:val="24"/>
              </w:rPr>
              <w:t>主要财务指标</w:t>
            </w:r>
          </w:p>
        </w:tc>
        <w:tc>
          <w:tcPr>
            <w:tcW w:type="dxa" w:w="4962"/>
            <w:gridSpan w:val="2"/>
            <w:vAlign w:val="center"/>
          </w:tcPr>
          <w:p w:rsidP="00BF5A58" w:rsidR="00BF5A58" w:rsidRDefault="00BF5A58" w:rsidRPr="00414345">
            <w:pPr>
              <w:adjustRightInd w:val="0"/>
              <w:spacing w:before="29" w:line="288" w:lineRule="auto"/>
              <w:ind w:left="17"/>
              <w:jc w:val="center"/>
              <w:rPr>
                <w:color w:val="000000"/>
                <w:sz w:val="24"/>
              </w:rPr>
            </w:pPr>
            <w:r w:rsidRPr="00414345">
              <w:rPr>
                <w:color w:val="000000"/>
                <w:sz w:val="24"/>
              </w:rPr>
              <w:t>报告期</w:t>
            </w:r>
          </w:p>
          <w:p w:rsidP="00BF5A58" w:rsidR="009E549D" w:rsidRDefault="00BF5A58" w:rsidRPr="007F52FA">
            <w:pPr>
              <w:adjustRightInd w:val="0"/>
              <w:spacing w:before="29" w:line="288" w:lineRule="auto"/>
              <w:ind w:left="17"/>
              <w:jc w:val="center"/>
              <w:rPr>
                <w:color w:val="000000"/>
                <w:sz w:val="24"/>
              </w:rPr>
            </w:pPr>
            <w:r w:rsidRPr="00414345">
              <w:rPr>
                <w:color w:val="000000"/>
                <w:sz w:val="24"/>
              </w:rPr>
              <w:t>(2019年10月1日-2019年12月31日)</w:t>
            </w:r>
          </w:p>
        </w:tc>
      </w:tr>
      <w:tr w:rsidR="009E549D" w:rsidRPr="007F52FA" w:rsidTr="007A5233">
        <w:trPr>
          <w:jc w:val="center"/>
        </w:trPr>
        <w:tc>
          <w:tcPr>
            <w:tcW w:type="dxa" w:w="3402"/>
            <w:vMerge/>
            <w:vAlign w:val="center"/>
          </w:tcPr>
          <w:p w:rsidP="007C14DF" w:rsidR="009E549D" w:rsidRDefault="009E549D" w:rsidRPr="007F52FA">
            <w:pPr>
              <w:adjustRightInd w:val="0"/>
              <w:spacing w:before="29" w:line="288" w:lineRule="auto"/>
              <w:ind w:left="17"/>
              <w:jc w:val="center"/>
              <w:rPr>
                <w:kern w:val="0"/>
                <w:sz w:val="24"/>
              </w:rPr>
            </w:pP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交银优择回报灵活配置混合A</w:t>
            </w: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交银优择回报灵活配置混合C</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11,314,990.41</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44,108.11</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2.</w:t>
            </w:r>
            <w:r w:rsidRPr="007F52FA">
              <w:rPr>
                <w:kern w:val="0"/>
                <w:sz w:val="24"/>
              </w:rPr>
              <w:t>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19,086,935.56</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74,458.55</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0.0274</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0.0276</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798,485,756.30</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3,478,675.91</w:t>
            </w:r>
          </w:p>
        </w:tc>
      </w:tr>
      <w:tr w:rsidR="005F293E" w:rsidRPr="007F52FA" w:rsidTr="007A5233">
        <w:trPr>
          <w:trHeight w:val="158"/>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1.145</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1.156</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注：1、上述基金A类业绩指标不包括持有人认购或交易基金的各项费用，计入费用后的实际收益水平要低于所列数字； </w:t>
      </w:r>
    </w:p>
    <w:p w:rsidP="007C14DF" w:rsidR="005E01A3" w:rsidRDefault="005E01A3"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2、本期已实现收益指基金本期利息收入、投资收益、其他收入（不含公允价值变动收益）扣除相关费用后的余额，本期利润为本期已实现收益加上本期公允价值变动收益。</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P="007C14DF" w:rsidR="009238DB" w:rsidRDefault="009238DB" w:rsidRPr="007F52FA">
      <w:pPr>
        <w:autoSpaceDE w:val="0"/>
        <w:autoSpaceDN w:val="0"/>
        <w:adjustRightInd w:val="0"/>
        <w:spacing w:before="29" w:line="288" w:lineRule="auto"/>
        <w:jc w:val="left"/>
        <w:rPr>
          <w:b/>
          <w:color w:val="000000"/>
          <w:kern w:val="0"/>
          <w:sz w:val="24"/>
        </w:rPr>
      </w:pPr>
      <w:smartTag w:element="chsdate" w:uri="urn:schemas-microsoft-com:office:smarttags">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P="007C14DF" w:rsidR="009238DB" w:rsidRDefault="009238DB" w:rsidRPr="007F52FA">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交银优择回报灵活配置混合A</w:t>
      </w:r>
      <w:r w:rsidRPr="007F52FA">
        <w:rPr>
          <w:b/>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2.42%</w:t>
            </w:r>
          </w:p>
        </w:tc>
        <w:tc>
          <w:tcPr>
            <w:vAlign w:val="center"/>
          </w:tcPr>
          <w:p>
            <w:pPr>
              <w:jc w:val="center"/>
            </w:pPr>
            <w:r>
              <w:rPr>
                <w:color w:val="000000"/>
                <w:sz w:val="24"/>
              </w:rPr>
              <w:t>0.10%</w:t>
            </w:r>
          </w:p>
        </w:tc>
        <w:tc>
          <w:tcPr>
            <w:vAlign w:val="center"/>
          </w:tcPr>
          <w:p>
            <w:pPr>
              <w:jc w:val="center"/>
            </w:pPr>
            <w:r>
              <w:rPr>
                <w:color w:val="000000"/>
                <w:sz w:val="24"/>
              </w:rPr>
              <w:t>3.99%</w:t>
            </w:r>
          </w:p>
        </w:tc>
        <w:tc>
          <w:tcPr>
            <w:vAlign w:val="center"/>
          </w:tcPr>
          <w:p>
            <w:pPr>
              <w:jc w:val="center"/>
            </w:pPr>
            <w:r>
              <w:rPr>
                <w:color w:val="000000"/>
                <w:sz w:val="24"/>
              </w:rPr>
              <w:t>0.37%</w:t>
            </w:r>
          </w:p>
        </w:tc>
        <w:tc>
          <w:tcPr>
            <w:vAlign w:val="center"/>
          </w:tcPr>
          <w:p>
            <w:pPr>
              <w:jc w:val="center"/>
            </w:pPr>
            <w:r>
              <w:rPr>
                <w:color w:val="000000"/>
                <w:sz w:val="24"/>
              </w:rPr>
              <w:t>-1.57%</w:t>
            </w:r>
          </w:p>
        </w:tc>
        <w:tc>
          <w:tcPr>
            <w:vAlign w:val="center"/>
          </w:tcPr>
          <w:p>
            <w:pPr>
              <w:jc w:val="center"/>
            </w:pPr>
            <w:r>
              <w:rPr>
                <w:color w:val="000000"/>
                <w:sz w:val="24"/>
              </w:rPr>
              <w:t>-0.27%</w:t>
            </w:r>
          </w:p>
        </w:tc>
      </w:tr>
    </w:tbl>
    <w:p w:rsidP="007C14DF" w:rsidR="004425E8" w:rsidRDefault="004425E8" w:rsidRPr="007F52FA">
      <w:pPr>
        <w:pStyle w:val="20"/>
        <w:spacing w:before="29" w:line="288" w:lineRule="auto"/>
        <w:ind w:firstLine="0" w:firstLineChars="0"/>
        <w:rPr>
          <w:rFonts w:ascii="Times New Roman" w:eastAsiaTheme="minorEastAsia" w:hAnsi="Times New Roman"/>
          <w:color w:val="000000"/>
        </w:rPr>
      </w:pPr>
    </w:p>
    <w:p w:rsidP="007C14DF" w:rsidR="009238DB" w:rsidRDefault="009238DB" w:rsidRPr="007F52FA">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交银优择回报灵活配置混合C</w:t>
      </w:r>
      <w:r w:rsidRPr="007F52FA">
        <w:rPr>
          <w:b/>
          <w:color w:val="000000"/>
          <w:kern w:val="0"/>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2.39%</w:t>
            </w:r>
          </w:p>
        </w:tc>
        <w:tc>
          <w:tcPr>
            <w:vAlign w:val="center"/>
          </w:tcPr>
          <w:p>
            <w:pPr>
              <w:jc w:val="center"/>
            </w:pPr>
            <w:r>
              <w:rPr>
                <w:color w:val="000000"/>
                <w:sz w:val="24"/>
              </w:rPr>
              <w:t>0.10%</w:t>
            </w:r>
          </w:p>
        </w:tc>
        <w:tc>
          <w:tcPr>
            <w:vAlign w:val="center"/>
          </w:tcPr>
          <w:p>
            <w:pPr>
              <w:jc w:val="center"/>
            </w:pPr>
            <w:r>
              <w:rPr>
                <w:color w:val="000000"/>
                <w:sz w:val="24"/>
              </w:rPr>
              <w:t>3.99%</w:t>
            </w:r>
          </w:p>
        </w:tc>
        <w:tc>
          <w:tcPr>
            <w:vAlign w:val="center"/>
          </w:tcPr>
          <w:p>
            <w:pPr>
              <w:jc w:val="center"/>
            </w:pPr>
            <w:r>
              <w:rPr>
                <w:color w:val="000000"/>
                <w:sz w:val="24"/>
              </w:rPr>
              <w:t>0.37%</w:t>
            </w:r>
          </w:p>
        </w:tc>
        <w:tc>
          <w:tcPr>
            <w:vAlign w:val="center"/>
          </w:tcPr>
          <w:p>
            <w:pPr>
              <w:jc w:val="center"/>
            </w:pPr>
            <w:r>
              <w:rPr>
                <w:color w:val="000000"/>
                <w:sz w:val="24"/>
              </w:rPr>
              <w:t>-1.60%</w:t>
            </w:r>
          </w:p>
        </w:tc>
        <w:tc>
          <w:tcPr>
            <w:vAlign w:val="center"/>
          </w:tcPr>
          <w:p>
            <w:pPr>
              <w:jc w:val="center"/>
            </w:pPr>
            <w:r>
              <w:rPr>
                <w:color w:val="000000"/>
                <w:sz w:val="24"/>
              </w:rPr>
              <w:t>-0.27%</w:t>
            </w:r>
          </w:p>
        </w:tc>
      </w:tr>
    </w:tbl>
    <w:p w:rsidP="007C14DF" w:rsidR="009238DB" w:rsidRDefault="009238DB" w:rsidRPr="007F52FA">
      <w:pPr>
        <w:autoSpaceDE w:val="0"/>
        <w:autoSpaceDN w:val="0"/>
        <w:adjustRightInd w:val="0"/>
        <w:spacing w:before="29" w:line="288" w:lineRule="auto"/>
        <w:ind w:left="15"/>
        <w:jc w:val="left"/>
        <w:rPr>
          <w:rFonts w:eastAsiaTheme="minorEastAsia"/>
          <w:b/>
          <w:color w:val="000000"/>
          <w:kern w:val="0"/>
          <w:sz w:val="24"/>
        </w:rPr>
      </w:pPr>
    </w:p>
    <w:p w:rsidP="007C14DF" w:rsidR="009238DB" w:rsidRDefault="009238DB" w:rsidRPr="007F52FA">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P="007C14DF" w:rsidR="009A045B" w:rsidRDefault="009A045B" w:rsidRPr="007F52FA">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交银施罗德优择回报灵活配置混合型证券投资基金</w:t>
      </w:r>
    </w:p>
    <w:p w:rsidP="007C14DF" w:rsidR="00022396" w:rsidRDefault="0001164A" w:rsidRPr="007F52FA">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P="007C14DF" w:rsidR="009A045B" w:rsidRDefault="00CC1636" w:rsidRPr="007F52FA">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2016年4月22日</w:t>
      </w:r>
      <w:r w:rsidR="009A045B" w:rsidRPr="007F52FA">
        <w:rPr>
          <w:rFonts w:ascii="Times New Roman" w:hAnsi="Times New Roman"/>
          <w:sz w:val="24"/>
          <w:szCs w:val="24"/>
        </w:rPr>
        <w:t>至</w:t>
      </w:r>
      <w:r w:rsidRPr="007F52FA">
        <w:rPr>
          <w:rFonts w:ascii="Times New Roman" w:hAnsi="Times New Roman"/>
          <w:sz w:val="24"/>
          <w:szCs w:val="24"/>
        </w:rPr>
        <w:t>2019年12月31日</w:t>
      </w:r>
      <w:r w:rsidRPr="007F52FA">
        <w:rPr>
          <w:rFonts w:ascii="Times New Roman" w:hAnsi="Times New Roman"/>
          <w:sz w:val="24"/>
          <w:szCs w:val="24"/>
        </w:rPr>
        <w:t>）</w:t>
      </w:r>
    </w:p>
    <w:p w:rsidP="007C14DF" w:rsidR="009238DB" w:rsidRDefault="009238DB" w:rsidRPr="007F52FA">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交银优择回报灵活配置混合A</w:t>
      </w:r>
    </w:p>
    <w:p w:rsidP="007C14DF" w:rsidR="00807B81"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B="0" distL="0" distR="0" distT="0">
            <wp:extent cx="5731510" cy="3356610"/>
            <wp:effectExtent b="0" l="19050" r="2540" t="0"/>
            <wp:docPr descr="走势图1.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7C14DF" w:rsidR="009238DB"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注：本基金建仓期为自基金合同生效日起的6个月。截至建仓期结束，本基金各项资产配置比例符合基金合同及招募说明书有关投资比例的约定。</w:t>
      </w:r>
    </w:p>
    <w:p w:rsidP="007C14DF" w:rsidR="0042785F" w:rsidRDefault="0042785F" w:rsidRPr="007F52FA">
      <w:pPr>
        <w:pStyle w:val="20"/>
        <w:spacing w:before="29" w:line="288" w:lineRule="auto"/>
        <w:ind w:firstLine="0" w:firstLineChars="0"/>
        <w:rPr>
          <w:rFonts w:ascii="Times New Roman" w:hAnsi="Times New Roman"/>
          <w:color w:val="000000"/>
        </w:rPr>
      </w:pPr>
    </w:p>
    <w:p w:rsidP="007C14DF" w:rsidR="009238DB" w:rsidRDefault="009238DB" w:rsidRPr="007F52FA">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交银优择回报灵活配置混合C</w:t>
      </w:r>
    </w:p>
    <w:p w:rsidP="007C14DF" w:rsidR="00D12D04"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B="0" distL="0" distR="0" distT="0">
            <wp:extent cx="5731510" cy="3356610"/>
            <wp:effectExtent b="0" l="19050" r="2540" t="0"/>
            <wp:docPr descr="走势图2.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31510" cy="3356610"/>
                    </a:xfrm>
                    <a:prstGeom prst="rect">
                      <a:avLst/>
                    </a:prstGeom>
                  </pic:spPr>
                </pic:pic>
              </a:graphicData>
            </a:graphic>
          </wp:inline>
        </w:drawing>
      </w:r>
    </w:p>
    <w:p w:rsidP="007C14DF" w:rsidR="0042785F"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注：本基金建仓期为自基金合同生效日起的6个月。截至建仓期结束，本基金各项资产配置比例符合基金合同及招募说明书有关投资比例的约定。</w:t>
      </w:r>
    </w:p>
    <w:p w:rsidP="007C14DF" w:rsidR="00757FD7" w:rsidRDefault="00757FD7" w:rsidRPr="007F52FA">
      <w:pPr>
        <w:spacing w:before="29" w:line="288" w:lineRule="auto"/>
        <w:ind w:firstLine="480" w:firstLineChars="200"/>
        <w:rPr>
          <w:color w:val="000000"/>
          <w:sz w:val="24"/>
        </w:rPr>
      </w:pPr>
      <w:r w:rsidRPr="007F52FA">
        <w:rPr>
          <w:color w:val="000000"/>
          <w:sz w:val="24"/>
        </w:rPr>
        <w:t/>
      </w:r>
      <w:r w:rsidR="00FE7FBD" w:rsidRPr="007F52FA">
        <w:rPr>
          <w:color w:val="000000"/>
          <w:sz w:val="24"/>
        </w:rPr>
        <w:t/>
      </w:r>
      <w:r w:rsidRPr="007F52FA">
        <w:rPr>
          <w:color w:val="000000"/>
          <w:sz w:val="24"/>
        </w:rPr>
        <w:t/>
      </w:r>
    </w:p>
    <w:p w:rsidP="007C14DF" w:rsidR="00973B57" w:rsidRDefault="00973B57" w:rsidRPr="007F52FA">
      <w:pPr>
        <w:pStyle w:val="20"/>
        <w:spacing w:before="29" w:line="288" w:lineRule="auto"/>
        <w:ind w:firstLine="0" w:firstLineChars="0"/>
        <w:jc w:val="left"/>
        <w:rPr>
          <w:rFonts w:ascii="Times New Roman" w:eastAsiaTheme="minorEastAsia" w:hAnsi="Times New Roman"/>
          <w:color w:val="000000"/>
        </w:rPr>
      </w:pPr>
    </w:p>
    <w:p w:rsidP="007C14DF" w:rsidR="006C5BC9" w:rsidRDefault="006C5BC9" w:rsidRPr="007F52FA">
      <w:pPr>
        <w:tabs>
          <w:tab w:pos="1800" w:val="left"/>
        </w:tabs>
        <w:spacing w:before="29" w:line="288" w:lineRule="auto"/>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6"/>
        <w:gridCol w:w="924"/>
        <w:gridCol w:w="1202"/>
        <w:gridCol w:w="1300"/>
        <w:gridCol w:w="1245"/>
        <w:gridCol w:w="3251"/>
      </w:tblGrid>
      <w:tr w:rsidR="00C41617" w:rsidRPr="007F52FA" w:rsidTr="00370FE2">
        <w:trPr>
          <w:jc w:val="center"/>
        </w:trPr>
        <w:tc>
          <w:tcPr>
            <w:tcW w:type="dxa" w:w="952"/>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type="dxa" w:w="930"/>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type="dxa" w:w="2519"/>
            <w:gridSpan w:val="2"/>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type="dxa" w:w="1254"/>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type="dxa" w:w="3276"/>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type="dxa" w:w="952"/>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930"/>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1210"/>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type="dxa" w:w="1309"/>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type="dxa" w:w="1254"/>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3276"/>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李娜</w:t>
            </w:r>
          </w:p>
        </w:tc>
        <w:tc>
          <w:tcPr>
            <w:vAlign w:val="center"/>
          </w:tcPr>
          <w:p>
            <w:pPr>
              <w:jc w:val="center"/>
            </w:pPr>
            <w:r>
              <w:rPr>
                <w:color w:val="000000"/>
                <w:sz w:val="24"/>
              </w:rPr>
              <w:t>交银周期回报灵活配置混合、交银新回报灵活配置混合、交银多策略回报灵活配置混合、交银优选回报灵活配置混合、交银优择回报灵活配置混合、交银瑞鑫定期开放灵活配置混合、交银裕祥纯债债券、交银恒益灵活配置混合的基金经理</w:t>
            </w:r>
          </w:p>
        </w:tc>
        <w:tc>
          <w:tcPr>
            <w:vAlign w:val="center"/>
          </w:tcPr>
          <w:p>
            <w:pPr>
              <w:jc w:val="center"/>
            </w:pPr>
            <w:r>
              <w:rPr>
                <w:color w:val="000000"/>
                <w:sz w:val="24"/>
              </w:rPr>
              <w:t>2016-04-22</w:t>
            </w:r>
          </w:p>
        </w:tc>
        <w:tc>
          <w:tcPr>
            <w:vAlign w:val="center"/>
          </w:tcPr>
          <w:p>
            <w:pPr>
              <w:jc w:val="center"/>
            </w:pPr>
            <w:r>
              <w:rPr>
                <w:color w:val="000000"/>
                <w:sz w:val="24"/>
              </w:rPr>
              <w:t>-</w:t>
            </w:r>
          </w:p>
        </w:tc>
        <w:tc>
          <w:tcPr>
            <w:vAlign w:val="center"/>
          </w:tcPr>
          <w:p>
            <w:pPr>
              <w:jc w:val="center"/>
            </w:pPr>
            <w:r>
              <w:rPr>
                <w:color w:val="000000"/>
                <w:sz w:val="24"/>
              </w:rPr>
              <w:t>9年</w:t>
            </w:r>
          </w:p>
        </w:tc>
        <w:tc>
          <w:tcPr>
            <w:vAlign w:val="center"/>
          </w:tcPr>
          <w:p>
            <w:pPr>
              <w:jc w:val="both"/>
            </w:pPr>
            <w:r>
              <w:rPr>
                <w:color w:val="000000"/>
                <w:sz w:val="24"/>
              </w:rPr>
              <w:t>李娜女士，美国宾夕法尼亚大学应用数学与计算科学硕士。历任国泰基金管理有限公司研究员。2012年加入交银施罗德基金管理有限公司，历任债券分析师、基金经理助理。2017年3月2日至2018年4月10日担任交银施罗德瑞安定期开放灵活配置混合型证券投资基金基金经理。2017年2月24日至2018年7月18日担任交银施罗德瑞利定期开放灵活配置混合型证券投资基金的基金经理。2017年3月31日至2018年8月23日担任交银施罗德启通灵活配置混合型证券投资基金的基金经理。2016年12月21日至2018年11月16日担任交银施罗德瑞景定期开放灵活配置混合型证券投资基金的基金经理。2016年2月17日至2018年12月7日担任交银施罗德卓越回报灵活配置混合型证券投资基金的基金经理。2016年9月13日至2019年1月21日担任交银施罗德领先回报灵活配置混合型证券投资基金的基金经理。</w:t>
            </w:r>
          </w:p>
        </w:tc>
      </w:tr>
      <w:tr>
        <w:tc>
          <w:tcPr>
            <w:vAlign w:val="center"/>
          </w:tcPr>
          <w:p>
            <w:pPr>
              <w:jc w:val="center"/>
            </w:pPr>
            <w:r>
              <w:rPr>
                <w:color w:val="000000"/>
                <w:sz w:val="24"/>
              </w:rPr>
              <w:t>凌超</w:t>
            </w:r>
          </w:p>
        </w:tc>
        <w:tc>
          <w:tcPr>
            <w:vAlign w:val="center"/>
          </w:tcPr>
          <w:p>
            <w:pPr>
              <w:jc w:val="center"/>
            </w:pPr>
            <w:r>
              <w:rPr>
                <w:color w:val="000000"/>
                <w:sz w:val="24"/>
              </w:rPr>
              <w:t>交银定期支付月月丰债券、交银增强收益债券、交银强化回报债券、交银周期回报灵活配置混合、交银新回报灵活配置混合、交银多策略回报灵活配置混合、交银优选回报灵活配置混合、交银优择回报灵活配置混合、交银瑞鑫定期开放灵活配置混合、交银增利增强债券、交银恒益灵活配置混合、交银裕祥纯债债券、交银稳固收益债券的基金经理，公司固定收益(公募)投资副总监</w:t>
            </w:r>
          </w:p>
        </w:tc>
        <w:tc>
          <w:tcPr>
            <w:vAlign w:val="center"/>
          </w:tcPr>
          <w:p>
            <w:pPr>
              <w:jc w:val="center"/>
            </w:pPr>
            <w:r>
              <w:rPr>
                <w:color w:val="000000"/>
                <w:sz w:val="24"/>
              </w:rPr>
              <w:t>2019-07-20</w:t>
            </w:r>
          </w:p>
        </w:tc>
        <w:tc>
          <w:tcPr>
            <w:vAlign w:val="center"/>
          </w:tcPr>
          <w:p>
            <w:pPr>
              <w:jc w:val="center"/>
            </w:pPr>
            <w:r>
              <w:rPr>
                <w:color w:val="000000"/>
                <w:sz w:val="24"/>
              </w:rPr>
              <w:t>-</w:t>
            </w:r>
          </w:p>
        </w:tc>
        <w:tc>
          <w:tcPr>
            <w:vAlign w:val="center"/>
          </w:tcPr>
          <w:p>
            <w:pPr>
              <w:jc w:val="center"/>
            </w:pPr>
            <w:r>
              <w:rPr>
                <w:color w:val="000000"/>
                <w:sz w:val="24"/>
              </w:rPr>
              <w:t>13年</w:t>
            </w:r>
          </w:p>
        </w:tc>
        <w:tc>
          <w:tcPr>
            <w:vAlign w:val="center"/>
          </w:tcPr>
          <w:p>
            <w:pPr>
              <w:jc w:val="both"/>
            </w:pPr>
            <w:r>
              <w:rPr>
                <w:color w:val="000000"/>
                <w:sz w:val="24"/>
              </w:rPr>
              <w:t>凌超先生，华中科技大学数量经济学硕士、武汉科技大学信息与计算科学学士。2006年至2009年任长江证券股份有限公司研究员、投资经理，2009年至2012年任光大保德信基金有限管理公司研究员、基金助理、基金经理，2012年至2016年任海富通基金管理有限公司投资顾问、基金经理，2016年至2017年任天弘基金管理有限公司固定收益部副总经理、基金经理。2010年8月31日至2012年3月1日任光大保德信货币市场基金基金经理，2013年12月19日至2016年1月12日任海富通一年定期开放债券型证券投资基金基金经理，2014年4月2日至2016年1月12日任海富通纯债债券型证券投资基金基金经理，2014年12月1日至2016年1月12日任海富通稳固收益债券型证券投资基金基金经理，2016年5月14日至2017年7月13日任天弘弘利债券型证券投资基金基金经理，2016年5月14日至2017年7月13日任天弘裕利灵活配置混合型证券投资基金基金经理，2016年5月14日至2017年7月13日任天弘债券型发起式证券投资基金基金经理。2017年7月加入交银施罗德基金管理有限公司。2019年2月28日至2019年5月30日担任转型前的交银施罗德荣祥保本混合型证券投资基金的基金经理。</w:t>
            </w:r>
          </w:p>
        </w:tc>
      </w:tr>
    </w:tbl>
    <w:p w:rsidP="007C14DF" w:rsidR="009238DB" w:rsidRDefault="00062E1F" w:rsidRPr="007F52FA">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P="007C14DF" w:rsidR="005C7D00" w:rsidRDefault="005C7D00" w:rsidRPr="007F52FA">
      <w:pPr>
        <w:pStyle w:val="20"/>
        <w:spacing w:before="29" w:line="288" w:lineRule="auto"/>
        <w:ind w:firstLine="0" w:firstLineChars="0"/>
        <w:rPr>
          <w:rFonts w:ascii="Times New Roman" w:eastAsiaTheme="minorEastAsia" w:hAnsi="Times New Roman"/>
          <w:color w:val="auto"/>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P="007C14DF" w:rsidR="009238DB" w:rsidRDefault="00323F25" w:rsidRPr="007F52FA">
      <w:pPr>
        <w:spacing w:before="29" w:line="288" w:lineRule="auto"/>
        <w:ind w:firstLine="480" w:firstLineChars="20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P="007C14DF" w:rsidR="00D15733" w:rsidRDefault="00D15733" w:rsidRPr="007F52FA">
      <w:pPr>
        <w:spacing w:before="29" w:line="288" w:lineRule="auto"/>
        <w:rPr>
          <w:sz w:val="24"/>
        </w:rPr>
      </w:pPr>
      <w:smartTag w:element="chsdate" w:uri="urn:schemas-microsoft-com:office:smarttags">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7C14DF" w:rsidR="00D15733" w:rsidRDefault="00323F25" w:rsidRPr="007F52FA">
      <w:pPr>
        <w:spacing w:before="29" w:line="288" w:lineRule="auto"/>
        <w:ind w:firstLine="480" w:firstLineChars="200"/>
        <w:rPr>
          <w:color w:val="000000"/>
          <w:sz w:val="24"/>
        </w:rPr>
      </w:pPr>
      <w:r w:rsidRPr="007F52FA">
        <w:rPr>
          <w:color w:val="000000"/>
          <w:sz w:val="24"/>
        </w:rPr>
        <w:t>报告期内本公司严格执行公平交易制度，公平对待旗下各投资组合，未发现任何违反公平交易的行为。</w:t>
      </w:r>
    </w:p>
    <w:p w:rsidP="007C14DF" w:rsidR="00D15733" w:rsidRDefault="00D15733" w:rsidRPr="007F52FA">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P="007C14DF" w:rsidR="00D15733" w:rsidRDefault="00323F25" w:rsidRPr="007F52FA">
      <w:pPr>
        <w:spacing w:before="29" w:line="288" w:lineRule="auto"/>
        <w:ind w:firstLine="480" w:firstLineChars="20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本报告期内，债券市场受通胀预期、资金面等因素影响，收益率呈现倒V走势。十月，因通胀上行压力及社融数据较强，市场恐慌资金面收紧，债市持续回调。十一月伊始，央行持续降低政策利率，市场资金面较为宽松，债市收益率不断下行。进入十二月，资金面宽松持续，但受海外市场风险因素阶段缓解以及国内逆周期调控政策上行预期影响，长端债券收益率震荡走平，中短久期债券收益率持续下行。</w:t>
      </w:r>
    </w:p>
    <w:p>
      <w:pPr>
        <w:spacing w:before="29" w:line="288" w:lineRule="auto"/>
        <w:ind w:firstLine="480" w:firstLineChars="200"/>
        <w:rPr>
          <w:color w:val="000000"/>
          <w:sz w:val="24"/>
        </w:rPr>
      </w:pPr>
      <w:r>
        <w:rPr>
          <w:color w:val="000000"/>
          <w:sz w:val="24"/>
        </w:rPr>
        <w:t>四季度，权益市场表现相对强势，科技主线延续强势，地产和基建相关板块也有不错表现。指数层面看，成长优于大盘。从行业看，建筑、电子、家电以及传媒等板块领涨，军工及部分强周期板块表现相对弱势。</w:t>
      </w:r>
    </w:p>
    <w:p>
      <w:pPr>
        <w:spacing w:before="29" w:line="288" w:lineRule="auto"/>
        <w:ind w:firstLine="480" w:firstLineChars="200"/>
        <w:rPr>
          <w:color w:val="000000"/>
          <w:sz w:val="24"/>
        </w:rPr>
      </w:pPr>
      <w:r>
        <w:rPr>
          <w:color w:val="000000"/>
          <w:sz w:val="24"/>
        </w:rPr>
        <w:t>在基金操作中，对于债券部分我们维持中短久期高等级信用债的底仓配置，以获取稳定的票息收益。权益方面，组合秉承稳健收益的原则，以低估值高股息品种为主，并适当增加小仓位科技品种。此外，组合积极参与权益及转债的一级申购，以增厚组合收益。</w:t>
      </w:r>
    </w:p>
    <w:p w:rsidP="007C14DF" w:rsidR="00952A72" w:rsidRDefault="00323F25" w:rsidRPr="007F52FA">
      <w:pPr>
        <w:spacing w:before="29" w:line="288" w:lineRule="auto"/>
        <w:ind w:firstLine="480" w:firstLineChars="200"/>
        <w:rPr>
          <w:color w:val="000000"/>
          <w:sz w:val="24"/>
        </w:rPr>
      </w:pPr>
      <w:r w:rsidRPr="007F52FA">
        <w:rPr>
          <w:color w:val="000000"/>
          <w:sz w:val="24"/>
        </w:rPr>
        <w:t>展望2020年一季度，尽管经济内生企稳动力不强的情况难以扭转，中期经济承压的格局未变，但短期在宏观逆周期调控政策发力，资金面维持中性偏宽的格局下，经济增长阶段存在改善可能。考虑到债券收益率受资金面影响下行较多，因此我们对明年一季度债券市场维持震荡观望的观点，底仓配置中短久期高等级信用债品种，以获取票息收益，并根据市场变化动态调整组合久期。权益方面，我们将继续维持低估值高分红的品种配置，并在行业的选择中，逐步关注周期板块盈利存在改善的行业，同时密切关注电子、软件等领域回调具有较大空间的个股。我们将继续积极参加权益及转债的一级申购，以期增厚组合收益。</w:t>
      </w:r>
    </w:p>
    <w:p w:rsidP="007C14DF" w:rsidR="00EC41BC" w:rsidRDefault="00EC41BC" w:rsidRPr="007F52FA">
      <w:pPr>
        <w:spacing w:before="29" w:line="288" w:lineRule="auto"/>
        <w:ind w:firstLine="480" w:firstLineChars="200"/>
        <w:rPr>
          <w:color w:val="00000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P="007C14DF" w:rsidR="00952A72" w:rsidRDefault="00323F25" w:rsidRPr="007F52FA">
      <w:pPr>
        <w:spacing w:before="29" w:line="288" w:lineRule="auto"/>
        <w:ind w:firstLine="480" w:firstLineChars="200"/>
        <w:rPr>
          <w:color w:val="000000"/>
          <w:sz w:val="24"/>
        </w:rPr>
      </w:pPr>
      <w:r w:rsidRPr="007F52FA">
        <w:rPr>
          <w:color w:val="000000"/>
          <w:sz w:val="24"/>
        </w:rPr>
        <w:t>本基金（各类）份额净值及业绩表现请见“3.1主要财务指标” 及“3.2.1 本报告期基金份额净值增长率及其与同期业绩比较基准收益率的比较”部分披露。</w:t>
      </w:r>
    </w:p>
    <w:p w:rsidP="007C14DF" w:rsidR="00400FA6" w:rsidRDefault="00400FA6" w:rsidRPr="007F52FA">
      <w:pPr>
        <w:spacing w:before="29" w:line="288" w:lineRule="auto"/>
        <w:ind w:firstLine="480" w:firstLineChars="200"/>
        <w:rPr>
          <w:color w:val="000000"/>
          <w:sz w:val="24"/>
        </w:rPr>
      </w:pPr>
    </w:p>
    <w:p w:rsidP="00274444" w:rsidR="00274444" w:rsidRDefault="00274444"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274444" w:rsidR="00274444" w:rsidRDefault="00274444">
      <w:pPr>
        <w:spacing w:before="29" w:line="288" w:lineRule="auto"/>
        <w:ind w:firstLine="480" w:firstLineChars="200"/>
        <w:rPr>
          <w:color w:val="000000"/>
          <w:sz w:val="24"/>
        </w:rPr>
      </w:pPr>
      <w:r w:rsidRPr="002070B4">
        <w:rPr>
          <w:color w:val="000000"/>
          <w:sz w:val="24"/>
        </w:rPr>
        <w:t>本基金本报告期内无需预警说明。</w:t>
      </w:r>
    </w:p>
    <w:p w:rsidP="007C14DF" w:rsidR="00400FA6" w:rsidRDefault="00400FA6" w:rsidRPr="007F52FA">
      <w:pPr>
        <w:spacing w:before="29" w:line="288" w:lineRule="auto"/>
        <w:ind w:firstLine="480" w:firstLineChars="200"/>
        <w:rPr>
          <w:color w:val="000000"/>
          <w:sz w:val="24"/>
        </w:rPr>
      </w:pPr>
    </w:p>
    <w:p w:rsidP="000A2988" w:rsidR="009238DB" w:rsidRDefault="009238DB" w:rsidRPr="007C6127">
      <w:pPr>
        <w:pStyle w:val="1"/>
        <w:spacing w:after="312" w:afterLines="100" w:before="312" w:beforeLines="100"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P="00C51B4E" w:rsidR="00C51B4E" w:rsidRDefault="00C51B4E">
      <w:pPr>
        <w:autoSpaceDE w:val="0"/>
        <w:autoSpaceDN w:val="0"/>
        <w:adjustRightInd w:val="0"/>
        <w:spacing w:line="360" w:lineRule="auto"/>
        <w:jc w:val="left"/>
        <w:rPr>
          <w:rFonts w:eastAsiaTheme="minorEastAsia"/>
          <w:b/>
          <w:color w:themeColor="text1" w:val="000000"/>
          <w:kern w:val="0"/>
          <w:sz w:val="24"/>
        </w:rPr>
      </w:pPr>
      <w:r w:rsidRPr="0028293E">
        <w:rPr>
          <w:rFonts w:eastAsiaTheme="minorEastAsia"/>
          <w:b/>
          <w:color w:themeColor="text1" w:val="000000"/>
          <w:kern w:val="0"/>
          <w:sz w:val="24"/>
        </w:rPr>
        <w:t xml:space="preserve">5.1 </w:t>
      </w:r>
      <w:r w:rsidRPr="0028293E">
        <w:rPr>
          <w:rFonts w:eastAsiaTheme="minorEastAsia"/>
          <w:b/>
          <w:color w:themeColor="text1" w:val="000000"/>
          <w:kern w:val="0"/>
          <w:sz w:val="24"/>
        </w:rPr>
        <w:t>报告期末基金资产组合情况</w:t>
      </w:r>
    </w:p>
    <w:p w:rsidP="001A5E45" w:rsidR="00610880" w:rsidRDefault="001A5E45" w:rsidRPr="0028293E">
      <w:pPr>
        <w:autoSpaceDE w:val="0"/>
        <w:autoSpaceDN w:val="0"/>
        <w:adjustRightInd w:val="0"/>
        <w:spacing w:line="360" w:lineRule="auto"/>
        <w:jc w:val="right"/>
        <w:rPr>
          <w:rFonts w:eastAsiaTheme="minorEastAsia"/>
          <w:b/>
          <w:color w:themeColor="text1" w:val="000000"/>
          <w:kern w:val="0"/>
          <w:sz w:val="24"/>
        </w:rPr>
      </w:pPr>
      <w:r w:rsidRPr="001A5E45">
        <w:rPr>
          <w:rFonts w:hint="eastAsia"/>
          <w:color w:val="000000"/>
          <w:kern w:val="0"/>
        </w:rPr>
        <w:t/>
      </w:r>
      <w:r w:rsidRPr="001A5E45">
        <w:rPr>
          <w:rFonts w:hint="eastAsia"/>
          <w:color w:val="000000"/>
          <w:kern w:val="0"/>
        </w:rPr>
        <w:t>金额单位：人民币元</w:t>
      </w:r>
    </w:p>
    <w:tbl>
      <w:tblPr>
        <w:tblStyle w:val="af2"/>
        <w:tblW w:type="dxa" w:w="8897"/>
        <w:tblInd w:type="dxa" w:w="108"/>
        <w:tblLayout w:type="fixed"/>
        <w:tblLook w:firstColumn="1" w:firstRow="1" w:lastColumn="0" w:lastRow="0" w:noHBand="0" w:noVBand="1" w:val="04A0"/>
      </w:tblPr>
      <w:tblGrid>
        <w:gridCol w:w="720"/>
        <w:gridCol w:w="2824"/>
        <w:gridCol w:w="2552"/>
        <w:gridCol w:w="2801"/>
      </w:tblGrid>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序号</w:t>
            </w:r>
          </w:p>
        </w:tc>
        <w:tc>
          <w:tcPr>
            <w:tcW w:type="dxa" w:w="2824"/>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项目</w:t>
            </w:r>
          </w:p>
        </w:tc>
        <w:tc>
          <w:tcPr>
            <w:tcW w:type="dxa" w:w="2552"/>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金额</w:t>
            </w:r>
          </w:p>
        </w:tc>
        <w:tc>
          <w:tcPr>
            <w:tcW w:type="dxa" w:w="2801"/>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占基金总资产的比例</w:t>
            </w:r>
            <w:r w:rsidR="005D2D89">
              <w:rPr>
                <w:rFonts w:eastAsiaTheme="minorEastAsia" w:hint="eastAsia"/>
                <w:color w:themeColor="text1" w:val="000000"/>
                <w:sz w:val="24"/>
              </w:rPr>
              <w:t>（</w:t>
            </w:r>
            <w:r w:rsidR="005D2D89">
              <w:rPr>
                <w:rFonts w:eastAsiaTheme="minorEastAsia" w:hint="eastAsia"/>
                <w:color w:themeColor="text1" w:val="000000"/>
                <w:sz w:val="24"/>
              </w:rPr>
              <w:t>%</w:t>
            </w:r>
            <w:r w:rsidR="005D2D89">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1</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权益投资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101,646,220.42</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11.10</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其中：股票</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101,646,220.42</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11.10</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2</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ascii="宋体" w:hAnsi="宋体" w:hint="eastAsia"/>
                <w:sz w:val="24"/>
              </w:rPr>
              <w:t>基金投资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3</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固定收益投资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780,741,817.20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85.26</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其中：债券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780,741,817.20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85.26</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8293E" w:rsidR="00C51B4E" w:rsidRDefault="00C51B4E" w:rsidRPr="0028293E">
            <w:pPr>
              <w:autoSpaceDE w:val="0"/>
              <w:autoSpaceDN w:val="0"/>
              <w:adjustRightInd w:val="0"/>
              <w:spacing w:before="29" w:line="360" w:lineRule="auto"/>
              <w:ind w:firstLine="720" w:firstLineChars="300" w:left="17"/>
              <w:jc w:val="left"/>
              <w:rPr>
                <w:rFonts w:eastAsiaTheme="minorEastAsia"/>
                <w:color w:themeColor="text1" w:val="000000"/>
                <w:sz w:val="24"/>
              </w:rPr>
            </w:pPr>
            <w:r w:rsidRPr="0028293E">
              <w:rPr>
                <w:rFonts w:eastAsiaTheme="minorEastAsia"/>
                <w:color w:themeColor="text1" w:val="000000"/>
                <w:sz w:val="24"/>
              </w:rPr>
              <w:t>资产支持证券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4</w:t>
            </w:r>
          </w:p>
        </w:tc>
        <w:tc>
          <w:tcPr>
            <w:tcW w:type="dxa" w:w="2824"/>
            <w:vAlign w:val="center"/>
          </w:tcPr>
          <w:p w:rsidP="002D2971" w:rsidR="00C51B4E" w:rsidRDefault="00C51B4E" w:rsidRPr="0028293E">
            <w:pPr>
              <w:spacing w:before="29" w:line="360" w:lineRule="auto"/>
              <w:ind w:left="105" w:leftChars="50"/>
              <w:rPr>
                <w:rFonts w:eastAsiaTheme="minorEastAsia"/>
                <w:color w:themeColor="text1" w:val="000000"/>
                <w:sz w:val="24"/>
              </w:rPr>
            </w:pPr>
            <w:r w:rsidRPr="0028293E">
              <w:rPr>
                <w:rFonts w:eastAsiaTheme="minorEastAsia"/>
                <w:color w:themeColor="text1" w:val="000000"/>
                <w:sz w:val="24"/>
              </w:rPr>
              <w:t>贵金属投资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
            </w:r>
            <w:r w:rsidRPr="0028293E">
              <w:rPr>
                <w:rFonts w:eastAsiaTheme="minorEastAsia"/>
                <w:color w:themeColor="text1" w:val="000000"/>
                <w:sz w:val="24"/>
              </w:rPr>
              <w:lastRenderedPageBreak/>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lastRenderedPageBreak/>
              <w:t/>
            </w:r>
            <w:r w:rsidRPr="0028293E">
              <w:rPr>
                <w:rFonts w:eastAsiaTheme="minorEastAsia"/>
                <w:color w:themeColor="text1" w:val="000000"/>
                <w:sz w:val="24"/>
              </w:rPr>
              <w:lastRenderedPageBreak/>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lastRenderedPageBreak/>
              <w:t>5</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金融衍生品投资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6</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其中：买断式回购的买入返售金融资产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7</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银行存款和结算备付金合计</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18,869,209.25</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2.06</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8</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其他各项资产</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14,495,971.23</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1.58</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9</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合计</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915,753,218.10</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P="001A5D39" w:rsidR="001A5D39" w:rsidRDefault="001A5D39">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1A5E45" w:rsidR="005F69E7" w:rsidRDefault="001A5E45" w:rsidRPr="005F69E7">
      <w:pPr>
        <w:jc w:val="right"/>
        <w:rPr>
          <w:sz w:val="24"/>
        </w:rPr>
      </w:pPr>
      <w:r w:rsidRPr="001A5E45">
        <w:rPr>
          <w:rFonts w:hint="eastAsia"/>
          <w:sz w:val="24"/>
        </w:rPr>
        <w:t/>
      </w:r>
      <w:r w:rsidRPr="001A5E45">
        <w:rPr>
          <w:rFonts w:hint="eastAsia"/>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left w:type="dxa" w:w="113"/>
          <w:right w:type="dxa" w:w="113"/>
        </w:tblCellMar>
        <w:tblLook w:firstColumn="0" w:firstRow="0" w:lastColumn="0" w:lastRow="0" w:noHBand="0" w:noVBand="0" w:val="0000"/>
      </w:tblPr>
      <w:tblGrid>
        <w:gridCol w:w="772"/>
        <w:gridCol w:w="3525"/>
        <w:gridCol w:w="2897"/>
        <w:gridCol w:w="1674"/>
      </w:tblGrid>
      <w:tr w:rsidR="005F458B" w:rsidRPr="007F52FA" w:rsidTr="004D7E11">
        <w:trPr>
          <w:trHeight w:val="390"/>
          <w:jc w:val="center"/>
        </w:trPr>
        <w:tc>
          <w:tcPr>
            <w:tcW w:type="dxa" w:w="772"/>
            <w:tcBorders>
              <w:top w:color="000000" w:space="0" w:sz="4" w:val="single"/>
              <w:left w:color="000000" w:space="0" w:sz="4" w:val="single"/>
              <w:bottom w:color="000000" w:space="0" w:sz="4" w:val="single"/>
              <w:right w:color="000000" w:space="0" w:sz="4" w:val="single"/>
            </w:tcBorders>
            <w:vAlign w:val="center"/>
          </w:tcPr>
          <w:p w:rsidP="007C14DF" w:rsidR="005F458B" w:rsidRDefault="005F458B" w:rsidRPr="007F52FA">
            <w:pPr>
              <w:adjustRightInd w:val="0"/>
              <w:snapToGrid w:val="0"/>
              <w:spacing w:before="29" w:line="288" w:lineRule="auto"/>
              <w:jc w:val="center"/>
              <w:rPr>
                <w:sz w:val="24"/>
              </w:rPr>
            </w:pPr>
            <w:r w:rsidRPr="007F52FA">
              <w:rPr>
                <w:sz w:val="24"/>
              </w:rPr>
              <w:t>代码</w:t>
            </w:r>
            <w:r w:rsidR="00FA0527" w:rsidRPr="007F52FA">
              <w:rPr>
                <w:sz w:val="24"/>
              </w:rPr>
              <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行业类别</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1A5E45" w:rsidRPr="007F52FA">
            <w:pPr>
              <w:adjustRightInd w:val="0"/>
              <w:snapToGrid w:val="0"/>
              <w:spacing w:before="29" w:line="288" w:lineRule="auto"/>
              <w:jc w:val="center"/>
              <w:rPr>
                <w:sz w:val="24"/>
              </w:rPr>
            </w:pPr>
            <w:r>
              <w:rPr>
                <w:sz w:val="24"/>
              </w:rPr>
              <w:t>公允价值</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A</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农、林、牧、渔业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autoSpaceDE w:val="0"/>
              <w:autoSpaceDN w:val="0"/>
              <w:adjustRightInd w:val="0"/>
              <w:spacing w:before="29" w:line="288" w:lineRule="auto"/>
              <w:ind w:left="15"/>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B</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采矿业</w:t>
            </w:r>
          </w:p>
        </w:tc>
        <w:tc>
          <w:tcPr>
            <w:tcW w:type="dxa" w:w="2897"/>
            <w:tcBorders>
              <w:top w:color="000000" w:space="0" w:sz="4" w:val="single"/>
              <w:left w:color="auto" w:space="0" w:sz="4" w:val="single"/>
              <w:bottom w:color="000000" w:space="0" w:sz="4" w:val="single"/>
              <w:right w:color="000000" w:space="0" w:sz="4" w:val="single"/>
            </w:tcBorders>
            <w:vAlign w:val="center"/>
          </w:tcPr>
          <w:p w:rsidP="00DF744A" w:rsidR="005F458B" w:rsidRDefault="005F458B" w:rsidRPr="007F52FA">
            <w:pPr>
              <w:spacing w:before="29" w:line="288" w:lineRule="auto"/>
              <w:jc w:val="right"/>
              <w:rPr>
                <w:sz w:val="24"/>
              </w:rPr>
            </w:pPr>
            <w:r w:rsidRPr="007F52FA">
              <w:rPr>
                <w:sz w:val="24"/>
              </w:rPr>
              <w:t>4,025,147.00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DF744A" w:rsidR="005F458B" w:rsidRDefault="005F458B" w:rsidRPr="007F52FA">
            <w:pPr>
              <w:spacing w:before="29" w:line="288" w:lineRule="auto"/>
              <w:jc w:val="right"/>
              <w:rPr>
                <w:sz w:val="24"/>
              </w:rPr>
            </w:pPr>
            <w:r w:rsidRPr="007F52FA">
              <w:rPr>
                <w:sz w:val="24"/>
              </w:rPr>
              <w:t>0.50</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C</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制造业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32,035,451.63</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3.99</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D</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电力、热力、燃气及水生产和供应业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E</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建筑业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F</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批发和零售业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5,376,158.00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
            </w:r>
            <w:r w:rsidRPr="007F52FA">
              <w:rPr>
                <w:sz w:val="24"/>
              </w:rPr>
              <w:lastRenderedPageBreak/>
              <w:t>0.67</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lastRenderedPageBreak/>
              <w:t>G</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交通运输、仓储和邮政业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3,206,790.00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0.40</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H</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住宿和餐饮业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4,569,237.00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0.57</w:t>
            </w:r>
          </w:p>
        </w:tc>
      </w:tr>
      <w:tr w:rsidR="005F458B" w:rsidRPr="007F52FA" w:rsidTr="00240CA0">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I</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240CA0" w:rsidR="005F458B" w:rsidRDefault="005F458B" w:rsidRPr="007F52FA">
            <w:pPr>
              <w:adjustRightInd w:val="0"/>
              <w:snapToGrid w:val="0"/>
              <w:spacing w:before="29" w:line="288" w:lineRule="auto"/>
              <w:rPr>
                <w:sz w:val="24"/>
              </w:rPr>
            </w:pPr>
            <w:r w:rsidRPr="007F52FA">
              <w:rPr>
                <w:sz w:val="24"/>
              </w:rPr>
              <w:t>信息传输、软件和信息技术服务业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1,501,136.56</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0.19</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J</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金融业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33,939,958.19</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4.23</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K</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房地产业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16,985,764.00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2.12</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L</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租赁和商务服务业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M</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科学研究和技术服务业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lastRenderedPageBreak/>
              <w:t>N</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水利、环境和公共设施管理业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6,578.04</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0.00</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O</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居民服务、修理和其他服务业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P</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教育</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Q</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卫生和社会工作</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R</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文化、体育和娱乐业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S</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综合</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合计</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101,646,220.42</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12.67</w:t>
            </w:r>
          </w:p>
        </w:tc>
      </w:tr>
    </w:tbl>
    <w:p w:rsidP="001A5D39" w:rsidR="001A5D39" w:rsidRDefault="001A5D39"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BE251D">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1A5D39" w:rsidR="001A5D39" w:rsidRDefault="001A5D39">
      <w:pPr>
        <w:spacing w:before="29" w:line="360" w:lineRule="auto"/>
        <w:ind w:left="17"/>
        <w:rPr>
          <w:color w:val="000000"/>
          <w:sz w:val="24"/>
        </w:rPr>
      </w:pPr>
      <w:r w:rsidRPr="00FF0BBF">
        <w:rPr>
          <w:color w:val="000000"/>
          <w:sz w:val="24"/>
        </w:rPr>
        <w:t>本基金本报告期末未持有通过港股通投资的股票。</w:t>
      </w:r>
    </w:p>
    <w:p w:rsidP="007C14DF" w:rsidR="009238DB" w:rsidRDefault="009238DB" w:rsidRPr="001A5D39">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850"/>
        <w:gridCol w:w="1327"/>
        <w:gridCol w:w="1769"/>
        <w:gridCol w:w="1327"/>
        <w:gridCol w:w="1915"/>
        <w:gridCol w:w="1680"/>
      </w:tblGrid>
      <w:tr w:rsidR="000871DB" w:rsidRPr="007F52FA" w:rsidTr="00481DB2">
        <w:trPr>
          <w:jc w:val="center"/>
        </w:trPr>
        <w:tc>
          <w:tcPr>
            <w:tcW w:type="dxa" w:w="817"/>
            <w:vAlign w:val="center"/>
          </w:tcPr>
          <w:p w:rsidP="007C14DF" w:rsidR="000871DB" w:rsidRDefault="000871DB" w:rsidRPr="007F52FA">
            <w:pPr>
              <w:spacing w:before="29" w:line="288" w:lineRule="auto"/>
              <w:ind w:left="17"/>
              <w:jc w:val="center"/>
              <w:rPr>
                <w:color w:val="000000"/>
                <w:sz w:val="24"/>
              </w:rPr>
            </w:pPr>
            <w:r w:rsidRPr="007F52FA">
              <w:rPr>
                <w:color w:val="000000"/>
                <w:sz w:val="24"/>
              </w:rPr>
              <w:t>序号</w:t>
            </w:r>
          </w:p>
        </w:tc>
        <w:tc>
          <w:tcPr>
            <w:tcW w:type="dxa" w:w="1276"/>
            <w:vAlign w:val="center"/>
          </w:tcPr>
          <w:p w:rsidP="007C14DF" w:rsidR="000871DB" w:rsidRDefault="000871DB" w:rsidRPr="007F52FA">
            <w:pPr>
              <w:spacing w:before="29" w:line="288" w:lineRule="auto"/>
              <w:ind w:left="17"/>
              <w:jc w:val="center"/>
              <w:rPr>
                <w:color w:val="000000"/>
                <w:sz w:val="24"/>
              </w:rPr>
            </w:pPr>
            <w:r w:rsidRPr="007F52FA">
              <w:rPr>
                <w:color w:val="000000"/>
                <w:sz w:val="24"/>
              </w:rPr>
              <w:t>股票代码</w:t>
            </w:r>
          </w:p>
        </w:tc>
        <w:tc>
          <w:tcPr>
            <w:tcW w:type="dxa" w:w="1701"/>
            <w:vAlign w:val="center"/>
          </w:tcPr>
          <w:p w:rsidP="007C14DF" w:rsidR="000871DB" w:rsidRDefault="000871DB" w:rsidRPr="007F52FA">
            <w:pPr>
              <w:spacing w:before="29" w:line="288" w:lineRule="auto"/>
              <w:ind w:left="17"/>
              <w:jc w:val="center"/>
              <w:rPr>
                <w:color w:val="000000"/>
                <w:sz w:val="24"/>
              </w:rPr>
            </w:pPr>
            <w:r w:rsidRPr="007F52FA">
              <w:rPr>
                <w:color w:val="000000"/>
                <w:sz w:val="24"/>
              </w:rPr>
              <w:t>股票名称</w:t>
            </w:r>
          </w:p>
        </w:tc>
        <w:tc>
          <w:tcPr>
            <w:tcW w:type="dxa" w:w="1276"/>
            <w:vAlign w:val="center"/>
          </w:tcPr>
          <w:p w:rsidP="007C14DF" w:rsidR="000871DB" w:rsidRDefault="000871DB" w:rsidRPr="007F52FA">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type="dxa" w:w="1842"/>
            <w:vAlign w:val="center"/>
          </w:tcPr>
          <w:p w:rsidP="007C14DF" w:rsidR="000871DB" w:rsidRDefault="000871DB" w:rsidRPr="007F52FA">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type="dxa" w:w="1616"/>
            <w:vAlign w:val="center"/>
          </w:tcPr>
          <w:p w:rsidP="007C14DF" w:rsidR="000871DB" w:rsidRDefault="000871DB" w:rsidRPr="007F52FA">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tc>
          <w:tcPr>
            <w:vAlign w:val="center"/>
          </w:tcPr>
          <w:p>
            <w:pPr>
              <w:jc w:val="center"/>
            </w:pPr>
            <w:r>
              <w:rPr>
                <w:color w:val="000000"/>
                <w:sz w:val="24"/>
              </w:rPr>
              <w:t>1</w:t>
            </w:r>
          </w:p>
        </w:tc>
        <w:tc>
          <w:tcPr>
            <w:vAlign w:val="center"/>
          </w:tcPr>
          <w:p>
            <w:pPr>
              <w:jc w:val="center"/>
            </w:pPr>
            <w:r>
              <w:rPr>
                <w:color w:val="000000"/>
                <w:sz w:val="24"/>
              </w:rPr>
              <w:t>600048</w:t>
            </w:r>
          </w:p>
        </w:tc>
        <w:tc>
          <w:tcPr>
            <w:vAlign w:val="center"/>
          </w:tcPr>
          <w:p>
            <w:pPr>
              <w:jc w:val="center"/>
            </w:pPr>
            <w:r>
              <w:rPr>
                <w:color w:val="000000"/>
                <w:sz w:val="24"/>
              </w:rPr>
              <w:t>保利地产</w:t>
            </w:r>
          </w:p>
        </w:tc>
        <w:tc>
          <w:tcPr>
            <w:vAlign w:val="center"/>
          </w:tcPr>
          <w:p>
            <w:pPr>
              <w:jc w:val="right"/>
            </w:pPr>
            <w:r>
              <w:rPr>
                <w:color w:val="000000"/>
                <w:sz w:val="24"/>
              </w:rPr>
              <w:t>1,049,800</w:t>
            </w:r>
          </w:p>
        </w:tc>
        <w:tc>
          <w:tcPr>
            <w:vAlign w:val="center"/>
          </w:tcPr>
          <w:p>
            <w:pPr>
              <w:jc w:val="right"/>
            </w:pPr>
            <w:r>
              <w:rPr>
                <w:color w:val="000000"/>
                <w:sz w:val="24"/>
              </w:rPr>
              <w:t>16,985,764.00</w:t>
            </w:r>
          </w:p>
        </w:tc>
        <w:tc>
          <w:tcPr>
            <w:vAlign w:val="center"/>
          </w:tcPr>
          <w:p>
            <w:pPr>
              <w:jc w:val="right"/>
            </w:pPr>
            <w:r>
              <w:rPr>
                <w:color w:val="000000"/>
                <w:sz w:val="24"/>
              </w:rPr>
              <w:t>2.12</w:t>
            </w:r>
          </w:p>
        </w:tc>
      </w:tr>
      <w:tr>
        <w:tc>
          <w:tcPr>
            <w:vAlign w:val="center"/>
          </w:tcPr>
          <w:p>
            <w:pPr>
              <w:jc w:val="center"/>
            </w:pPr>
            <w:r>
              <w:rPr>
                <w:color w:val="000000"/>
                <w:sz w:val="24"/>
              </w:rPr>
              <w:t>2</w:t>
            </w:r>
          </w:p>
        </w:tc>
        <w:tc>
          <w:tcPr>
            <w:vAlign w:val="center"/>
          </w:tcPr>
          <w:p>
            <w:pPr>
              <w:jc w:val="center"/>
            </w:pPr>
            <w:r>
              <w:rPr>
                <w:color w:val="000000"/>
                <w:sz w:val="24"/>
              </w:rPr>
              <w:t>601288</w:t>
            </w:r>
          </w:p>
        </w:tc>
        <w:tc>
          <w:tcPr>
            <w:vAlign w:val="center"/>
          </w:tcPr>
          <w:p>
            <w:pPr>
              <w:jc w:val="center"/>
            </w:pPr>
            <w:r>
              <w:rPr>
                <w:color w:val="000000"/>
                <w:sz w:val="24"/>
              </w:rPr>
              <w:t>农业银行</w:t>
            </w:r>
          </w:p>
        </w:tc>
        <w:tc>
          <w:tcPr>
            <w:vAlign w:val="center"/>
          </w:tcPr>
          <w:p>
            <w:pPr>
              <w:jc w:val="right"/>
            </w:pPr>
            <w:r>
              <w:rPr>
                <w:color w:val="000000"/>
                <w:sz w:val="24"/>
              </w:rPr>
              <w:t>3,275,900</w:t>
            </w:r>
          </w:p>
        </w:tc>
        <w:tc>
          <w:tcPr>
            <w:vAlign w:val="center"/>
          </w:tcPr>
          <w:p>
            <w:pPr>
              <w:jc w:val="right"/>
            </w:pPr>
            <w:r>
              <w:rPr>
                <w:color w:val="000000"/>
                <w:sz w:val="24"/>
              </w:rPr>
              <w:t>12,088,071.00</w:t>
            </w:r>
          </w:p>
        </w:tc>
        <w:tc>
          <w:tcPr>
            <w:vAlign w:val="center"/>
          </w:tcPr>
          <w:p>
            <w:pPr>
              <w:jc w:val="right"/>
            </w:pPr>
            <w:r>
              <w:rPr>
                <w:color w:val="000000"/>
                <w:sz w:val="24"/>
              </w:rPr>
              <w:t>1.51</w:t>
            </w:r>
          </w:p>
        </w:tc>
      </w:tr>
      <w:tr>
        <w:tc>
          <w:tcPr>
            <w:vAlign w:val="center"/>
          </w:tcPr>
          <w:p>
            <w:pPr>
              <w:jc w:val="center"/>
            </w:pPr>
            <w:r>
              <w:rPr>
                <w:color w:val="000000"/>
                <w:sz w:val="24"/>
              </w:rPr>
              <w:t>3</w:t>
            </w:r>
          </w:p>
        </w:tc>
        <w:tc>
          <w:tcPr>
            <w:vAlign w:val="center"/>
          </w:tcPr>
          <w:p>
            <w:pPr>
              <w:jc w:val="center"/>
            </w:pPr>
            <w:r>
              <w:rPr>
                <w:color w:val="000000"/>
                <w:sz w:val="24"/>
              </w:rPr>
              <w:t>601628</w:t>
            </w:r>
          </w:p>
        </w:tc>
        <w:tc>
          <w:tcPr>
            <w:vAlign w:val="center"/>
          </w:tcPr>
          <w:p>
            <w:pPr>
              <w:jc w:val="center"/>
            </w:pPr>
            <w:r>
              <w:rPr>
                <w:color w:val="000000"/>
                <w:sz w:val="24"/>
              </w:rPr>
              <w:t>中国人寿</w:t>
            </w:r>
          </w:p>
        </w:tc>
        <w:tc>
          <w:tcPr>
            <w:vAlign w:val="center"/>
          </w:tcPr>
          <w:p>
            <w:pPr>
              <w:jc w:val="right"/>
            </w:pPr>
            <w:r>
              <w:rPr>
                <w:color w:val="000000"/>
                <w:sz w:val="24"/>
              </w:rPr>
              <w:t>250,600</w:t>
            </w:r>
          </w:p>
        </w:tc>
        <w:tc>
          <w:tcPr>
            <w:vAlign w:val="center"/>
          </w:tcPr>
          <w:p>
            <w:pPr>
              <w:jc w:val="right"/>
            </w:pPr>
            <w:r>
              <w:rPr>
                <w:color w:val="000000"/>
                <w:sz w:val="24"/>
              </w:rPr>
              <w:t>8,738,422.00</w:t>
            </w:r>
          </w:p>
        </w:tc>
        <w:tc>
          <w:tcPr>
            <w:vAlign w:val="center"/>
          </w:tcPr>
          <w:p>
            <w:pPr>
              <w:jc w:val="right"/>
            </w:pPr>
            <w:r>
              <w:rPr>
                <w:color w:val="000000"/>
                <w:sz w:val="24"/>
              </w:rPr>
              <w:t>1.09</w:t>
            </w:r>
          </w:p>
        </w:tc>
      </w:tr>
      <w:tr>
        <w:tc>
          <w:tcPr>
            <w:vAlign w:val="center"/>
          </w:tcPr>
          <w:p>
            <w:pPr>
              <w:jc w:val="center"/>
            </w:pPr>
            <w:r>
              <w:rPr>
                <w:color w:val="000000"/>
                <w:sz w:val="24"/>
              </w:rPr>
              <w:t>4</w:t>
            </w:r>
          </w:p>
        </w:tc>
        <w:tc>
          <w:tcPr>
            <w:vAlign w:val="center"/>
          </w:tcPr>
          <w:p>
            <w:pPr>
              <w:jc w:val="center"/>
            </w:pPr>
            <w:r>
              <w:rPr>
                <w:color w:val="000000"/>
                <w:sz w:val="24"/>
              </w:rPr>
              <w:t>002271</w:t>
            </w:r>
          </w:p>
        </w:tc>
        <w:tc>
          <w:tcPr>
            <w:vAlign w:val="center"/>
          </w:tcPr>
          <w:p>
            <w:pPr>
              <w:jc w:val="center"/>
            </w:pPr>
            <w:r>
              <w:rPr>
                <w:color w:val="000000"/>
                <w:sz w:val="24"/>
              </w:rPr>
              <w:t>东方雨虹</w:t>
            </w:r>
          </w:p>
        </w:tc>
        <w:tc>
          <w:tcPr>
            <w:vAlign w:val="center"/>
          </w:tcPr>
          <w:p>
            <w:pPr>
              <w:jc w:val="right"/>
            </w:pPr>
            <w:r>
              <w:rPr>
                <w:color w:val="000000"/>
                <w:sz w:val="24"/>
              </w:rPr>
              <w:t>299,920</w:t>
            </w:r>
          </w:p>
        </w:tc>
        <w:tc>
          <w:tcPr>
            <w:vAlign w:val="center"/>
          </w:tcPr>
          <w:p>
            <w:pPr>
              <w:jc w:val="right"/>
            </w:pPr>
            <w:r>
              <w:rPr>
                <w:color w:val="000000"/>
                <w:sz w:val="24"/>
              </w:rPr>
              <w:t>7,890,895.20</w:t>
            </w:r>
          </w:p>
        </w:tc>
        <w:tc>
          <w:tcPr>
            <w:vAlign w:val="center"/>
          </w:tcPr>
          <w:p>
            <w:pPr>
              <w:jc w:val="right"/>
            </w:pPr>
            <w:r>
              <w:rPr>
                <w:color w:val="000000"/>
                <w:sz w:val="24"/>
              </w:rPr>
              <w:t>0.98</w:t>
            </w:r>
          </w:p>
        </w:tc>
      </w:tr>
      <w:tr>
        <w:tc>
          <w:tcPr>
            <w:vAlign w:val="center"/>
          </w:tcPr>
          <w:p>
            <w:pPr>
              <w:jc w:val="center"/>
            </w:pPr>
            <w:r>
              <w:rPr>
                <w:color w:val="000000"/>
                <w:sz w:val="24"/>
              </w:rPr>
              <w:t>5</w:t>
            </w:r>
          </w:p>
        </w:tc>
        <w:tc>
          <w:tcPr>
            <w:vAlign w:val="center"/>
          </w:tcPr>
          <w:p>
            <w:pPr>
              <w:jc w:val="center"/>
            </w:pPr>
            <w:r>
              <w:rPr>
                <w:color w:val="000000"/>
                <w:sz w:val="24"/>
              </w:rPr>
              <w:t>603160</w:t>
            </w:r>
          </w:p>
        </w:tc>
        <w:tc>
          <w:tcPr>
            <w:vAlign w:val="center"/>
          </w:tcPr>
          <w:p>
            <w:pPr>
              <w:jc w:val="center"/>
            </w:pPr>
            <w:r>
              <w:rPr>
                <w:color w:val="000000"/>
                <w:sz w:val="24"/>
              </w:rPr>
              <w:t>汇顶科技</w:t>
            </w:r>
          </w:p>
        </w:tc>
        <w:tc>
          <w:tcPr>
            <w:vAlign w:val="center"/>
          </w:tcPr>
          <w:p>
            <w:pPr>
              <w:jc w:val="right"/>
            </w:pPr>
            <w:r>
              <w:rPr>
                <w:color w:val="000000"/>
                <w:sz w:val="24"/>
              </w:rPr>
              <w:t>31,100</w:t>
            </w:r>
          </w:p>
        </w:tc>
        <w:tc>
          <w:tcPr>
            <w:vAlign w:val="center"/>
          </w:tcPr>
          <w:p>
            <w:pPr>
              <w:jc w:val="right"/>
            </w:pPr>
            <w:r>
              <w:rPr>
                <w:color w:val="000000"/>
                <w:sz w:val="24"/>
              </w:rPr>
              <w:t>6,415,930.00</w:t>
            </w:r>
          </w:p>
        </w:tc>
        <w:tc>
          <w:tcPr>
            <w:vAlign w:val="center"/>
          </w:tcPr>
          <w:p>
            <w:pPr>
              <w:jc w:val="right"/>
            </w:pPr>
            <w:r>
              <w:rPr>
                <w:color w:val="000000"/>
                <w:sz w:val="24"/>
              </w:rPr>
              <w:t>0.80</w:t>
            </w:r>
          </w:p>
        </w:tc>
      </w:tr>
      <w:tr>
        <w:tc>
          <w:tcPr>
            <w:vAlign w:val="center"/>
          </w:tcPr>
          <w:p>
            <w:pPr>
              <w:jc w:val="center"/>
            </w:pPr>
            <w:r>
              <w:rPr>
                <w:color w:val="000000"/>
                <w:sz w:val="24"/>
              </w:rPr>
              <w:t>6</w:t>
            </w:r>
          </w:p>
        </w:tc>
        <w:tc>
          <w:tcPr>
            <w:vAlign w:val="center"/>
          </w:tcPr>
          <w:p>
            <w:pPr>
              <w:jc w:val="center"/>
            </w:pPr>
            <w:r>
              <w:rPr>
                <w:color w:val="000000"/>
                <w:sz w:val="24"/>
              </w:rPr>
              <w:t>600519</w:t>
            </w:r>
          </w:p>
        </w:tc>
        <w:tc>
          <w:tcPr>
            <w:vAlign w:val="center"/>
          </w:tcPr>
          <w:p>
            <w:pPr>
              <w:jc w:val="center"/>
            </w:pPr>
            <w:r>
              <w:rPr>
                <w:color w:val="000000"/>
                <w:sz w:val="24"/>
              </w:rPr>
              <w:t>贵州茅台</w:t>
            </w:r>
          </w:p>
        </w:tc>
        <w:tc>
          <w:tcPr>
            <w:vAlign w:val="center"/>
          </w:tcPr>
          <w:p>
            <w:pPr>
              <w:jc w:val="right"/>
            </w:pPr>
            <w:r>
              <w:rPr>
                <w:color w:val="000000"/>
                <w:sz w:val="24"/>
              </w:rPr>
              <w:t>5,000</w:t>
            </w:r>
          </w:p>
        </w:tc>
        <w:tc>
          <w:tcPr>
            <w:vAlign w:val="center"/>
          </w:tcPr>
          <w:p>
            <w:pPr>
              <w:jc w:val="right"/>
            </w:pPr>
            <w:r>
              <w:rPr>
                <w:color w:val="000000"/>
                <w:sz w:val="24"/>
              </w:rPr>
              <w:t>5,915,000.00</w:t>
            </w:r>
          </w:p>
        </w:tc>
        <w:tc>
          <w:tcPr>
            <w:vAlign w:val="center"/>
          </w:tcPr>
          <w:p>
            <w:pPr>
              <w:jc w:val="right"/>
            </w:pPr>
            <w:r>
              <w:rPr>
                <w:color w:val="000000"/>
                <w:sz w:val="24"/>
              </w:rPr>
              <w:t>0.74</w:t>
            </w:r>
          </w:p>
        </w:tc>
      </w:tr>
      <w:tr>
        <w:tc>
          <w:tcPr>
            <w:vAlign w:val="center"/>
          </w:tcPr>
          <w:p>
            <w:pPr>
              <w:jc w:val="center"/>
            </w:pPr>
            <w:r>
              <w:rPr>
                <w:color w:val="000000"/>
                <w:sz w:val="24"/>
              </w:rPr>
              <w:t>7</w:t>
            </w:r>
          </w:p>
        </w:tc>
        <w:tc>
          <w:tcPr>
            <w:vAlign w:val="center"/>
          </w:tcPr>
          <w:p>
            <w:pPr>
              <w:jc w:val="center"/>
            </w:pPr>
            <w:r>
              <w:rPr>
                <w:color w:val="000000"/>
                <w:sz w:val="24"/>
              </w:rPr>
              <w:t>601398</w:t>
            </w:r>
          </w:p>
        </w:tc>
        <w:tc>
          <w:tcPr>
            <w:vAlign w:val="center"/>
          </w:tcPr>
          <w:p>
            <w:pPr>
              <w:jc w:val="center"/>
            </w:pPr>
            <w:r>
              <w:rPr>
                <w:color w:val="000000"/>
                <w:sz w:val="24"/>
              </w:rPr>
              <w:t>工商银行</w:t>
            </w:r>
          </w:p>
        </w:tc>
        <w:tc>
          <w:tcPr>
            <w:vAlign w:val="center"/>
          </w:tcPr>
          <w:p>
            <w:pPr>
              <w:jc w:val="right"/>
            </w:pPr>
            <w:r>
              <w:rPr>
                <w:color w:val="000000"/>
                <w:sz w:val="24"/>
              </w:rPr>
              <w:t>1,000,000</w:t>
            </w:r>
          </w:p>
        </w:tc>
        <w:tc>
          <w:tcPr>
            <w:vAlign w:val="center"/>
          </w:tcPr>
          <w:p>
            <w:pPr>
              <w:jc w:val="right"/>
            </w:pPr>
            <w:r>
              <w:rPr>
                <w:color w:val="000000"/>
                <w:sz w:val="24"/>
              </w:rPr>
              <w:t>5,880,000.00</w:t>
            </w:r>
          </w:p>
        </w:tc>
        <w:tc>
          <w:tcPr>
            <w:vAlign w:val="center"/>
          </w:tcPr>
          <w:p>
            <w:pPr>
              <w:jc w:val="right"/>
            </w:pPr>
            <w:r>
              <w:rPr>
                <w:color w:val="000000"/>
                <w:sz w:val="24"/>
              </w:rPr>
              <w:t>0.73</w:t>
            </w:r>
          </w:p>
        </w:tc>
      </w:tr>
      <w:tr>
        <w:tc>
          <w:tcPr>
            <w:vAlign w:val="center"/>
          </w:tcPr>
          <w:p>
            <w:pPr>
              <w:jc w:val="center"/>
            </w:pPr>
            <w:r>
              <w:rPr>
                <w:color w:val="000000"/>
                <w:sz w:val="24"/>
              </w:rPr>
              <w:t>8</w:t>
            </w:r>
          </w:p>
        </w:tc>
        <w:tc>
          <w:tcPr>
            <w:vAlign w:val="center"/>
          </w:tcPr>
          <w:p>
            <w:pPr>
              <w:jc w:val="center"/>
            </w:pPr>
            <w:r>
              <w:rPr>
                <w:color w:val="000000"/>
                <w:sz w:val="24"/>
              </w:rPr>
              <w:t>601336</w:t>
            </w:r>
          </w:p>
        </w:tc>
        <w:tc>
          <w:tcPr>
            <w:vAlign w:val="center"/>
          </w:tcPr>
          <w:p>
            <w:pPr>
              <w:jc w:val="center"/>
            </w:pPr>
            <w:r>
              <w:rPr>
                <w:color w:val="000000"/>
                <w:sz w:val="24"/>
              </w:rPr>
              <w:t>新华保险</w:t>
            </w:r>
          </w:p>
        </w:tc>
        <w:tc>
          <w:tcPr>
            <w:vAlign w:val="center"/>
          </w:tcPr>
          <w:p>
            <w:pPr>
              <w:jc w:val="right"/>
            </w:pPr>
            <w:r>
              <w:rPr>
                <w:color w:val="000000"/>
                <w:sz w:val="24"/>
              </w:rPr>
              <w:t>100,900</w:t>
            </w:r>
          </w:p>
        </w:tc>
        <w:tc>
          <w:tcPr>
            <w:vAlign w:val="center"/>
          </w:tcPr>
          <w:p>
            <w:pPr>
              <w:jc w:val="right"/>
            </w:pPr>
            <w:r>
              <w:rPr>
                <w:color w:val="000000"/>
                <w:sz w:val="24"/>
              </w:rPr>
              <w:t>4,959,235.00</w:t>
            </w:r>
          </w:p>
        </w:tc>
        <w:tc>
          <w:tcPr>
            <w:vAlign w:val="center"/>
          </w:tcPr>
          <w:p>
            <w:pPr>
              <w:jc w:val="right"/>
            </w:pPr>
            <w:r>
              <w:rPr>
                <w:color w:val="000000"/>
                <w:sz w:val="24"/>
              </w:rPr>
              <w:t>0.62</w:t>
            </w:r>
          </w:p>
        </w:tc>
      </w:tr>
      <w:tr>
        <w:tc>
          <w:tcPr>
            <w:vAlign w:val="center"/>
          </w:tcPr>
          <w:p>
            <w:pPr>
              <w:jc w:val="center"/>
            </w:pPr>
            <w:r>
              <w:rPr>
                <w:color w:val="000000"/>
                <w:sz w:val="24"/>
              </w:rPr>
              <w:t>9</w:t>
            </w:r>
          </w:p>
        </w:tc>
        <w:tc>
          <w:tcPr>
            <w:vAlign w:val="center"/>
          </w:tcPr>
          <w:p>
            <w:pPr>
              <w:jc w:val="center"/>
            </w:pPr>
            <w:r>
              <w:rPr>
                <w:color w:val="000000"/>
                <w:sz w:val="24"/>
              </w:rPr>
              <w:t>600258</w:t>
            </w:r>
          </w:p>
        </w:tc>
        <w:tc>
          <w:tcPr>
            <w:vAlign w:val="center"/>
          </w:tcPr>
          <w:p>
            <w:pPr>
              <w:jc w:val="center"/>
            </w:pPr>
            <w:r>
              <w:rPr>
                <w:color w:val="000000"/>
                <w:sz w:val="24"/>
              </w:rPr>
              <w:t>首旅酒店</w:t>
            </w:r>
          </w:p>
        </w:tc>
        <w:tc>
          <w:tcPr>
            <w:vAlign w:val="center"/>
          </w:tcPr>
          <w:p>
            <w:pPr>
              <w:jc w:val="right"/>
            </w:pPr>
            <w:r>
              <w:rPr>
                <w:color w:val="000000"/>
                <w:sz w:val="24"/>
              </w:rPr>
              <w:t>221,700</w:t>
            </w:r>
          </w:p>
        </w:tc>
        <w:tc>
          <w:tcPr>
            <w:vAlign w:val="center"/>
          </w:tcPr>
          <w:p>
            <w:pPr>
              <w:jc w:val="right"/>
            </w:pPr>
            <w:r>
              <w:rPr>
                <w:color w:val="000000"/>
                <w:sz w:val="24"/>
              </w:rPr>
              <w:t>4,569,237.00</w:t>
            </w:r>
          </w:p>
        </w:tc>
        <w:tc>
          <w:tcPr>
            <w:vAlign w:val="center"/>
          </w:tcPr>
          <w:p>
            <w:pPr>
              <w:jc w:val="right"/>
            </w:pPr>
            <w:r>
              <w:rPr>
                <w:color w:val="000000"/>
                <w:sz w:val="24"/>
              </w:rPr>
              <w:t>0.57</w:t>
            </w:r>
          </w:p>
        </w:tc>
      </w:tr>
      <w:tr>
        <w:tc>
          <w:tcPr>
            <w:vAlign w:val="center"/>
          </w:tcPr>
          <w:p>
            <w:pPr>
              <w:jc w:val="center"/>
            </w:pPr>
            <w:r>
              <w:rPr>
                <w:color w:val="000000"/>
                <w:sz w:val="24"/>
              </w:rPr>
              <w:t>10</w:t>
            </w:r>
          </w:p>
        </w:tc>
        <w:tc>
          <w:tcPr>
            <w:vAlign w:val="center"/>
          </w:tcPr>
          <w:p>
            <w:pPr>
              <w:jc w:val="center"/>
            </w:pPr>
            <w:r>
              <w:rPr>
                <w:color w:val="000000"/>
                <w:sz w:val="24"/>
              </w:rPr>
              <w:t>601933</w:t>
            </w:r>
          </w:p>
        </w:tc>
        <w:tc>
          <w:tcPr>
            <w:vAlign w:val="center"/>
          </w:tcPr>
          <w:p>
            <w:pPr>
              <w:jc w:val="center"/>
            </w:pPr>
            <w:r>
              <w:rPr>
                <w:color w:val="000000"/>
                <w:sz w:val="24"/>
              </w:rPr>
              <w:t>永辉超市</w:t>
            </w:r>
          </w:p>
        </w:tc>
        <w:tc>
          <w:tcPr>
            <w:vAlign w:val="center"/>
          </w:tcPr>
          <w:p>
            <w:pPr>
              <w:jc w:val="right"/>
            </w:pPr>
            <w:r>
              <w:rPr>
                <w:color w:val="000000"/>
                <w:sz w:val="24"/>
              </w:rPr>
              <w:t>592,700</w:t>
            </w:r>
          </w:p>
        </w:tc>
        <w:tc>
          <w:tcPr>
            <w:vAlign w:val="center"/>
          </w:tcPr>
          <w:p>
            <w:pPr>
              <w:jc w:val="right"/>
            </w:pPr>
            <w:r>
              <w:rPr>
                <w:color w:val="000000"/>
                <w:sz w:val="24"/>
              </w:rPr>
              <w:t>4,468,958.00</w:t>
            </w:r>
          </w:p>
        </w:tc>
        <w:tc>
          <w:tcPr>
            <w:vAlign w:val="center"/>
          </w:tcPr>
          <w:p>
            <w:pPr>
              <w:jc w:val="right"/>
            </w:pPr>
            <w:r>
              <w:rPr>
                <w:color w:val="000000"/>
                <w:sz w:val="24"/>
              </w:rPr>
              <w:t>0.56</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P="001A5E45" w:rsidR="008220BF" w:rsidRDefault="001A5E45" w:rsidRPr="008220BF">
      <w:pPr>
        <w:autoSpaceDE w:val="0"/>
        <w:autoSpaceDN w:val="0"/>
        <w:adjustRightInd w:val="0"/>
        <w:spacing w:before="29" w:line="288" w:lineRule="auto"/>
        <w:jc w:val="right"/>
        <w:rPr>
          <w:color w:val="000000"/>
          <w:kern w:val="0"/>
          <w:sz w:val="24"/>
        </w:rPr>
      </w:pPr>
      <w:r w:rsidRPr="001A5E45">
        <w:rPr>
          <w:rFonts w:hint="eastAsia"/>
          <w:color w:val="000000"/>
          <w:kern w:val="0"/>
          <w:sz w:val="24"/>
        </w:rPr>
        <w:t/>
      </w:r>
      <w:r w:rsidRPr="001A5E45">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0"/>
        <w:gridCol w:w="3390"/>
        <w:gridCol w:w="2948"/>
        <w:gridCol w:w="1680"/>
      </w:tblGrid>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序号</w:t>
            </w:r>
          </w:p>
        </w:tc>
        <w:tc>
          <w:tcPr>
            <w:tcW w:type="dxa" w:w="3260"/>
            <w:vAlign w:val="center"/>
          </w:tcPr>
          <w:p w:rsidP="007C14DF" w:rsidR="00296E4A" w:rsidRDefault="00296E4A" w:rsidRPr="007F52FA">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type="dxa" w:w="2835"/>
            <w:vAlign w:val="center"/>
          </w:tcPr>
          <w:p w:rsidP="007C14DF" w:rsidR="00296E4A" w:rsidRDefault="00296E4A" w:rsidRPr="007F52FA">
            <w:pPr>
              <w:spacing w:before="29" w:line="288" w:lineRule="auto"/>
              <w:ind w:left="17"/>
              <w:jc w:val="center"/>
              <w:rPr>
                <w:color w:val="000000"/>
                <w:sz w:val="24"/>
              </w:rPr>
            </w:pPr>
            <w:r w:rsidRPr="007F52FA">
              <w:rPr>
                <w:color w:val="000000"/>
                <w:sz w:val="24"/>
              </w:rPr>
              <w:t>公允价值</w:t>
            </w:r>
          </w:p>
        </w:tc>
        <w:tc>
          <w:tcPr>
            <w:tcW w:type="dxa" w:w="1616"/>
            <w:vAlign w:val="center"/>
          </w:tcPr>
          <w:p w:rsidP="007C14DF" w:rsidR="00296E4A" w:rsidRDefault="00296E4A" w:rsidRPr="007F52FA">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1</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国家债券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lastRenderedPageBreak/>
              <w:t/>
            </w:r>
            <w:r w:rsidRPr="007F52FA">
              <w:rPr>
                <w:color w:val="000000"/>
                <w:sz w:val="24"/>
              </w:rPr>
              <w:lastRenderedPageBreak/>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lastRenderedPageBreak/>
              <w:t>2</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央行票据</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3</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金融债券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43,317,400.00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5.40</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其中：政策性金融债</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43,317,400.00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5.40</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4</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408,340,000.00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50.92</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5</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lastRenderedPageBreak/>
              <w:t>6</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中期票据</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325,509,000.00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40.59</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t>7</w:t>
            </w:r>
          </w:p>
        </w:tc>
        <w:tc>
          <w:tcPr>
            <w:tcW w:type="dxa" w:w="3260"/>
            <w:vAlign w:val="center"/>
          </w:tcPr>
          <w:p w:rsidP="007F50FB" w:rsidR="00686943" w:rsidRDefault="00686943" w:rsidRPr="007F52FA">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3,575,417.20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0.45</w:t>
            </w:r>
          </w:p>
        </w:tc>
      </w:tr>
      <w:tr w:rsidR="00514118" w:rsidRPr="007F52FA" w:rsidTr="000F7468">
        <w:trPr>
          <w:jc w:val="center"/>
        </w:trPr>
        <w:tc>
          <w:tcPr>
            <w:tcW w:type="dxa" w:w="817"/>
            <w:vAlign w:val="center"/>
          </w:tcPr>
          <w:p w:rsidP="007C14DF" w:rsidR="00514118" w:rsidRDefault="00514118" w:rsidRPr="007F52FA">
            <w:pPr>
              <w:spacing w:before="29" w:line="288" w:lineRule="auto"/>
              <w:ind w:left="17"/>
              <w:jc w:val="center"/>
              <w:rPr>
                <w:color w:val="000000"/>
                <w:sz w:val="24"/>
              </w:rPr>
            </w:pPr>
            <w:r>
              <w:rPr>
                <w:rFonts w:hint="eastAsia"/>
                <w:color w:val="000000"/>
                <w:sz w:val="24"/>
              </w:rPr>
              <w:t>8</w:t>
            </w:r>
          </w:p>
        </w:tc>
        <w:tc>
          <w:tcPr>
            <w:tcW w:type="dxa" w:w="3260"/>
            <w:vAlign w:val="center"/>
          </w:tcPr>
          <w:p w:rsidP="007C14DF" w:rsidR="00514118" w:rsidRDefault="00B279B6" w:rsidRPr="007F52FA">
            <w:pPr>
              <w:spacing w:before="29" w:line="288" w:lineRule="auto"/>
              <w:ind w:left="17"/>
              <w:jc w:val="left"/>
              <w:rPr>
                <w:color w:val="000000"/>
                <w:sz w:val="24"/>
              </w:rPr>
            </w:pPr>
            <w:r w:rsidRPr="00AF0CAB">
              <w:rPr>
                <w:rFonts w:hint="eastAsia"/>
                <w:color w:val="000000"/>
                <w:sz w:val="24"/>
              </w:rPr>
              <w:t>同业存单</w:t>
            </w:r>
          </w:p>
        </w:tc>
        <w:tc>
          <w:tcPr>
            <w:tcW w:type="dxa" w:w="2835"/>
            <w:vAlign w:val="center"/>
          </w:tcPr>
          <w:p w:rsidP="007C14DF" w:rsidR="00514118" w:rsidRDefault="001936D7"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c>
          <w:tcPr>
            <w:tcW w:type="dxa" w:w="1616"/>
            <w:vAlign w:val="center"/>
          </w:tcPr>
          <w:p w:rsidP="007C14DF" w:rsidR="00514118" w:rsidRDefault="00FC6F53"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其他</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合计</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780,741,817.20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97.35</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P="001A5E45" w:rsidR="00D21CE9" w:rsidRDefault="001A5E45" w:rsidRPr="00D21CE9">
      <w:pPr>
        <w:autoSpaceDE w:val="0"/>
        <w:autoSpaceDN w:val="0"/>
        <w:adjustRightInd w:val="0"/>
        <w:spacing w:before="29" w:line="288" w:lineRule="auto"/>
        <w:jc w:val="right"/>
        <w:rPr>
          <w:color w:val="000000"/>
          <w:kern w:val="0"/>
          <w:sz w:val="24"/>
        </w:rPr>
      </w:pPr>
      <w:r w:rsidRPr="001A5E45">
        <w:rPr>
          <w:rFonts w:hint="eastAsia"/>
          <w:color w:val="000000"/>
          <w:kern w:val="0"/>
          <w:sz w:val="24"/>
        </w:rPr>
        <w:lastRenderedPageBreak/>
        <w:t/>
      </w:r>
      <w:r w:rsidRPr="001A5E45">
        <w:rPr>
          <w:rFonts w:hint="eastAsia"/>
          <w:color w:val="000000"/>
          <w:kern w:val="0"/>
          <w:sz w:val="24"/>
        </w:rPr>
        <w:t>金额单位：人民币元</w:t>
      </w:r>
    </w:p>
    <w:tbl>
      <w:tblPr>
        <w:tblStyle w:val="af2"/>
        <w:tblW w:type="dxa" w:w="8868"/>
        <w:jc w:val="center"/>
        <w:tblLayout w:type="fixed"/>
        <w:tblCellMar>
          <w:top w:type="dxa" w:w="57"/>
          <w:bottom w:type="dxa" w:w="57"/>
        </w:tblCellMar>
        <w:tblLook w:firstColumn="1" w:firstRow="1" w:lastColumn="0" w:lastRow="0" w:noHBand="0" w:noVBand="1" w:val="04A0"/>
      </w:tblPr>
      <w:tblGrid>
        <w:gridCol w:w="1075"/>
        <w:gridCol w:w="1533"/>
        <w:gridCol w:w="1533"/>
        <w:gridCol w:w="1394"/>
        <w:gridCol w:w="1944"/>
        <w:gridCol w:w="1389"/>
      </w:tblGrid>
      <w:tr w:rsidR="00685FFC" w:rsidRPr="007F52FA" w:rsidTr="00B236A5">
        <w:trPr>
          <w:jc w:val="center"/>
        </w:trPr>
        <w:tc>
          <w:tcPr>
            <w:tcW w:type="dxa" w:w="109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type="dxa" w:w="1420"/>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type="dxa" w:w="198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type="dxa" w:w="141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101900121</w:t>
            </w:r>
          </w:p>
        </w:tc>
        <w:tc>
          <w:tcPr>
            <w:vAlign w:val="center"/>
          </w:tcPr>
          <w:p>
            <w:pPr>
              <w:jc w:val="center"/>
            </w:pPr>
            <w:r>
              <w:rPr>
                <w:color w:val="000000"/>
                <w:sz w:val="24"/>
              </w:rPr>
              <w:t>19中电信MTN001</w:t>
            </w:r>
          </w:p>
        </w:tc>
        <w:tc>
          <w:tcPr>
            <w:vAlign w:val="center"/>
          </w:tcPr>
          <w:p>
            <w:pPr>
              <w:jc w:val="right"/>
            </w:pPr>
            <w:r>
              <w:rPr>
                <w:color w:val="000000"/>
                <w:sz w:val="24"/>
              </w:rPr>
              <w:t>500,000</w:t>
            </w:r>
          </w:p>
        </w:tc>
        <w:tc>
          <w:tcPr>
            <w:vAlign w:val="center"/>
          </w:tcPr>
          <w:p>
            <w:pPr>
              <w:jc w:val="right"/>
            </w:pPr>
            <w:r>
              <w:rPr>
                <w:color w:val="000000"/>
                <w:sz w:val="24"/>
              </w:rPr>
              <w:t>50,480,000.00</w:t>
            </w:r>
          </w:p>
        </w:tc>
        <w:tc>
          <w:tcPr>
            <w:vAlign w:val="center"/>
          </w:tcPr>
          <w:p>
            <w:pPr>
              <w:jc w:val="right"/>
            </w:pPr>
            <w:r>
              <w:rPr>
                <w:color w:val="000000"/>
                <w:sz w:val="24"/>
              </w:rPr>
              <w:t>6.29</w:t>
            </w:r>
          </w:p>
        </w:tc>
      </w:tr>
      <w:tr>
        <w:tc>
          <w:tcPr>
            <w:vAlign w:val="center"/>
          </w:tcPr>
          <w:p>
            <w:pPr>
              <w:jc w:val="center"/>
            </w:pPr>
            <w:r>
              <w:rPr>
                <w:color w:val="000000"/>
                <w:sz w:val="24"/>
              </w:rPr>
              <w:t>2</w:t>
            </w:r>
          </w:p>
        </w:tc>
        <w:tc>
          <w:tcPr>
            <w:vAlign w:val="center"/>
          </w:tcPr>
          <w:p>
            <w:pPr>
              <w:jc w:val="center"/>
            </w:pPr>
            <w:r>
              <w:rPr>
                <w:color w:val="000000"/>
                <w:sz w:val="24"/>
              </w:rPr>
              <w:t>143746</w:t>
            </w:r>
          </w:p>
        </w:tc>
        <w:tc>
          <w:tcPr>
            <w:vAlign w:val="center"/>
          </w:tcPr>
          <w:p>
            <w:pPr>
              <w:jc w:val="center"/>
            </w:pPr>
            <w:r>
              <w:rPr>
                <w:color w:val="000000"/>
                <w:sz w:val="24"/>
              </w:rPr>
              <w:t>18光明02</w:t>
            </w:r>
          </w:p>
        </w:tc>
        <w:tc>
          <w:tcPr>
            <w:vAlign w:val="center"/>
          </w:tcPr>
          <w:p>
            <w:pPr>
              <w:jc w:val="right"/>
            </w:pPr>
            <w:r>
              <w:rPr>
                <w:color w:val="000000"/>
                <w:sz w:val="24"/>
              </w:rPr>
              <w:t>400,000</w:t>
            </w:r>
          </w:p>
        </w:tc>
        <w:tc>
          <w:tcPr>
            <w:vAlign w:val="center"/>
          </w:tcPr>
          <w:p>
            <w:pPr>
              <w:jc w:val="right"/>
            </w:pPr>
            <w:r>
              <w:rPr>
                <w:color w:val="000000"/>
                <w:sz w:val="24"/>
              </w:rPr>
              <w:t>40,492,000.00</w:t>
            </w:r>
          </w:p>
        </w:tc>
        <w:tc>
          <w:tcPr>
            <w:vAlign w:val="center"/>
          </w:tcPr>
          <w:p>
            <w:pPr>
              <w:jc w:val="right"/>
            </w:pPr>
            <w:r>
              <w:rPr>
                <w:color w:val="000000"/>
                <w:sz w:val="24"/>
              </w:rPr>
              <w:t>5.05</w:t>
            </w:r>
          </w:p>
        </w:tc>
      </w:tr>
      <w:tr>
        <w:tc>
          <w:tcPr>
            <w:vAlign w:val="center"/>
          </w:tcPr>
          <w:p>
            <w:pPr>
              <w:jc w:val="center"/>
            </w:pPr>
            <w:r>
              <w:rPr>
                <w:color w:val="000000"/>
                <w:sz w:val="24"/>
              </w:rPr>
              <w:t>3</w:t>
            </w:r>
          </w:p>
        </w:tc>
        <w:tc>
          <w:tcPr>
            <w:vAlign w:val="center"/>
          </w:tcPr>
          <w:p>
            <w:pPr>
              <w:jc w:val="center"/>
            </w:pPr>
            <w:r>
              <w:rPr>
                <w:color w:val="000000"/>
                <w:sz w:val="24"/>
              </w:rPr>
              <w:t>018007</w:t>
            </w:r>
          </w:p>
        </w:tc>
        <w:tc>
          <w:tcPr>
            <w:vAlign w:val="center"/>
          </w:tcPr>
          <w:p>
            <w:pPr>
              <w:jc w:val="center"/>
            </w:pPr>
            <w:r>
              <w:rPr>
                <w:color w:val="000000"/>
                <w:sz w:val="24"/>
              </w:rPr>
              <w:t>国开1801</w:t>
            </w:r>
          </w:p>
        </w:tc>
        <w:tc>
          <w:tcPr>
            <w:vAlign w:val="center"/>
          </w:tcPr>
          <w:p>
            <w:pPr>
              <w:jc w:val="right"/>
            </w:pPr>
            <w:r>
              <w:rPr>
                <w:color w:val="000000"/>
                <w:sz w:val="24"/>
              </w:rPr>
              <w:t>400,000</w:t>
            </w:r>
          </w:p>
        </w:tc>
        <w:tc>
          <w:tcPr>
            <w:vAlign w:val="center"/>
          </w:tcPr>
          <w:p>
            <w:pPr>
              <w:jc w:val="right"/>
            </w:pPr>
            <w:r>
              <w:rPr>
                <w:color w:val="000000"/>
                <w:sz w:val="24"/>
              </w:rPr>
              <w:t>40,300,000.00</w:t>
            </w:r>
          </w:p>
        </w:tc>
        <w:tc>
          <w:tcPr>
            <w:vAlign w:val="center"/>
          </w:tcPr>
          <w:p>
            <w:pPr>
              <w:jc w:val="right"/>
            </w:pPr>
            <w:r>
              <w:rPr>
                <w:color w:val="000000"/>
                <w:sz w:val="24"/>
              </w:rPr>
              <w:t>5.03</w:t>
            </w:r>
          </w:p>
        </w:tc>
      </w:tr>
      <w:tr>
        <w:tc>
          <w:tcPr>
            <w:vAlign w:val="center"/>
          </w:tcPr>
          <w:p>
            <w:pPr>
              <w:jc w:val="center"/>
            </w:pPr>
            <w:r>
              <w:rPr>
                <w:color w:val="000000"/>
                <w:sz w:val="24"/>
              </w:rPr>
              <w:t>4</w:t>
            </w:r>
          </w:p>
        </w:tc>
        <w:tc>
          <w:tcPr>
            <w:vAlign w:val="center"/>
          </w:tcPr>
          <w:p>
            <w:pPr>
              <w:jc w:val="center"/>
            </w:pPr>
            <w:r>
              <w:rPr>
                <w:color w:val="000000"/>
                <w:sz w:val="24"/>
              </w:rPr>
              <w:t>136827</w:t>
            </w:r>
          </w:p>
        </w:tc>
        <w:tc>
          <w:tcPr>
            <w:vAlign w:val="center"/>
          </w:tcPr>
          <w:p>
            <w:pPr>
              <w:jc w:val="center"/>
            </w:pPr>
            <w:r>
              <w:rPr>
                <w:color w:val="000000"/>
                <w:sz w:val="24"/>
              </w:rPr>
              <w:t>16国网02</w:t>
            </w:r>
          </w:p>
        </w:tc>
        <w:tc>
          <w:tcPr>
            <w:vAlign w:val="center"/>
          </w:tcPr>
          <w:p>
            <w:pPr>
              <w:jc w:val="right"/>
            </w:pPr>
            <w:r>
              <w:rPr>
                <w:color w:val="000000"/>
                <w:sz w:val="24"/>
              </w:rPr>
              <w:t>400,000</w:t>
            </w:r>
          </w:p>
        </w:tc>
        <w:tc>
          <w:tcPr>
            <w:vAlign w:val="center"/>
          </w:tcPr>
          <w:p>
            <w:pPr>
              <w:jc w:val="right"/>
            </w:pPr>
            <w:r>
              <w:rPr>
                <w:color w:val="000000"/>
                <w:sz w:val="24"/>
              </w:rPr>
              <w:t>39,892,000.00</w:t>
            </w:r>
          </w:p>
        </w:tc>
        <w:tc>
          <w:tcPr>
            <w:vAlign w:val="center"/>
          </w:tcPr>
          <w:p>
            <w:pPr>
              <w:jc w:val="right"/>
            </w:pPr>
            <w:r>
              <w:rPr>
                <w:color w:val="000000"/>
                <w:sz w:val="24"/>
              </w:rPr>
              <w:t>4.97</w:t>
            </w:r>
          </w:p>
        </w:tc>
      </w:tr>
      <w:tr>
        <w:tc>
          <w:tcPr>
            <w:vAlign w:val="center"/>
          </w:tcPr>
          <w:p>
            <w:pPr>
              <w:jc w:val="center"/>
            </w:pPr>
            <w:r>
              <w:rPr>
                <w:color w:val="000000"/>
                <w:sz w:val="24"/>
              </w:rPr>
              <w:t>5</w:t>
            </w:r>
          </w:p>
        </w:tc>
        <w:tc>
          <w:tcPr>
            <w:vAlign w:val="center"/>
          </w:tcPr>
          <w:p>
            <w:pPr>
              <w:jc w:val="center"/>
            </w:pPr>
            <w:r>
              <w:rPr>
                <w:color w:val="000000"/>
                <w:sz w:val="24"/>
              </w:rPr>
              <w:t>101800480</w:t>
            </w:r>
          </w:p>
        </w:tc>
        <w:tc>
          <w:tcPr>
            <w:vAlign w:val="center"/>
          </w:tcPr>
          <w:p>
            <w:pPr>
              <w:jc w:val="center"/>
            </w:pPr>
            <w:r>
              <w:rPr>
                <w:color w:val="000000"/>
                <w:sz w:val="24"/>
              </w:rPr>
              <w:t>18物产中大MTN001</w:t>
            </w:r>
          </w:p>
        </w:tc>
        <w:tc>
          <w:tcPr>
            <w:vAlign w:val="center"/>
          </w:tcPr>
          <w:p>
            <w:pPr>
              <w:jc w:val="right"/>
            </w:pPr>
            <w:r>
              <w:rPr>
                <w:color w:val="000000"/>
                <w:sz w:val="24"/>
              </w:rPr>
              <w:t>300,000</w:t>
            </w:r>
          </w:p>
        </w:tc>
        <w:tc>
          <w:tcPr>
            <w:vAlign w:val="center"/>
          </w:tcPr>
          <w:p>
            <w:pPr>
              <w:jc w:val="right"/>
            </w:pPr>
            <w:r>
              <w:rPr>
                <w:color w:val="000000"/>
                <w:sz w:val="24"/>
              </w:rPr>
              <w:t>30,816,000.00</w:t>
            </w:r>
          </w:p>
        </w:tc>
        <w:tc>
          <w:tcPr>
            <w:vAlign w:val="center"/>
          </w:tcPr>
          <w:p>
            <w:pPr>
              <w:jc w:val="right"/>
            </w:pPr>
            <w:r>
              <w:rPr>
                <w:color w:val="000000"/>
                <w:sz w:val="24"/>
              </w:rPr>
              <w:t>3.84</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P="007C14DF" w:rsidR="009238DB" w:rsidRDefault="00C260A2" w:rsidRPr="007F52FA">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P="007C14DF" w:rsidR="00680BCE" w:rsidRDefault="00680BCE" w:rsidRPr="007F52FA">
      <w:pPr>
        <w:autoSpaceDE w:val="0"/>
        <w:autoSpaceDN w:val="0"/>
        <w:adjustRightInd w:val="0"/>
        <w:spacing w:before="29" w:line="288" w:lineRule="auto"/>
        <w:ind w:firstLine="120" w:firstLineChars="50"/>
        <w:jc w:val="left"/>
        <w:rPr>
          <w:sz w:val="24"/>
        </w:rPr>
      </w:pPr>
      <w:r w:rsidRPr="007F52FA">
        <w:rPr>
          <w:sz w:val="24"/>
        </w:rPr>
        <w:t>本基金本报告期末未持有贵金属。</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A621E1" w:rsidRPr="007F52FA">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P="007C14DF" w:rsidR="00C260A2" w:rsidRDefault="00C260A2" w:rsidRPr="007F52FA">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P="007C14DF" w:rsidR="001D5CD0" w:rsidRDefault="001D5CD0" w:rsidRPr="007F52FA">
      <w:pPr>
        <w:autoSpaceDE w:val="0"/>
        <w:autoSpaceDN w:val="0"/>
        <w:adjustRightInd w:val="0"/>
        <w:spacing w:before="29" w:line="288" w:lineRule="auto"/>
        <w:jc w:val="left"/>
        <w:rPr>
          <w:rFonts w:eastAsiaTheme="minorEastAsia"/>
          <w:color w:val="000000"/>
          <w:kern w:val="0"/>
          <w:sz w:val="24"/>
        </w:rPr>
      </w:pPr>
    </w:p>
    <w:p w:rsidP="007C14DF" w:rsidR="001D5CD0" w:rsidRDefault="001D5CD0" w:rsidRPr="007F52FA">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P="007C14DF" w:rsidR="001D5CD0" w:rsidRDefault="001D5CD0" w:rsidRPr="007F52FA">
      <w:pPr>
        <w:autoSpaceDE w:val="0"/>
        <w:autoSpaceDN w:val="0"/>
        <w:adjustRightInd w:val="0"/>
        <w:spacing w:before="29" w:line="288" w:lineRule="auto"/>
        <w:jc w:val="left"/>
        <w:rPr>
          <w:sz w:val="24"/>
        </w:rPr>
      </w:pPr>
      <w:r w:rsidRPr="007F52FA">
        <w:rPr>
          <w:sz w:val="24"/>
        </w:rPr>
        <w:t>本基金本报告期末未持有股指期货。</w:t>
      </w:r>
    </w:p>
    <w:p w:rsidP="007C14DF" w:rsidR="001D5CD0" w:rsidRDefault="001D5CD0" w:rsidRPr="007F52FA">
      <w:pPr>
        <w:autoSpaceDE w:val="0"/>
        <w:autoSpaceDN w:val="0"/>
        <w:adjustRightInd w:val="0"/>
        <w:spacing w:before="29" w:line="288" w:lineRule="auto"/>
        <w:jc w:val="left"/>
        <w:rPr>
          <w:b/>
          <w:sz w:val="24"/>
        </w:rPr>
      </w:pPr>
    </w:p>
    <w:p w:rsidP="007C14DF" w:rsidR="00A7062E" w:rsidRDefault="001D5CD0" w:rsidRPr="007F52FA">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P="007C14DF" w:rsidR="00DB56EC" w:rsidRDefault="00DB56EC"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P="00A0678E" w:rsidR="00384E65" w:rsidRDefault="00384E65" w:rsidRPr="00384E65">
      <w:pPr>
        <w:autoSpaceDE w:val="0"/>
        <w:autoSpaceDN w:val="0"/>
        <w:adjustRightInd w:val="0"/>
        <w:spacing w:before="29" w:line="288" w:lineRule="auto"/>
        <w:rPr>
          <w:kern w:val="0"/>
          <w:sz w:val="24"/>
        </w:rPr>
      </w:pPr>
      <w:r w:rsidRPr="00384E65">
        <w:rPr>
          <w:kern w:val="0"/>
          <w:sz w:val="24"/>
        </w:rPr>
        <w:t>5.11.1报告期内本基金投资的前十名证券的发行主体未被监管部门立案调查，在本报告编制日前一年内本基金投资的前十名证券的发行主体未受到公开谴责和处罚。</w:t>
      </w:r>
    </w:p>
    <w:p w:rsidP="00A0678E" w:rsidR="00384E65" w:rsidRDefault="00384E65" w:rsidRPr="00384E65">
      <w:pPr>
        <w:autoSpaceDE w:val="0"/>
        <w:autoSpaceDN w:val="0"/>
        <w:adjustRightInd w:val="0"/>
        <w:spacing w:before="29" w:line="288" w:lineRule="auto"/>
        <w:rPr>
          <w:kern w:val="0"/>
          <w:sz w:val="24"/>
        </w:rPr>
      </w:pPr>
      <w:r w:rsidRPr="00384E65">
        <w:rPr>
          <w:kern w:val="0"/>
          <w:sz w:val="24"/>
        </w:rPr>
        <w:t>5.11.2本基金投资的前十名股票中，没有超出基金合同规定的备选股票库之外的股票。</w:t>
      </w:r>
    </w:p>
    <w:p w:rsidP="007C14DF" w:rsidR="001D5CD0" w:rsidRDefault="001D5CD0">
      <w:pPr>
        <w:autoSpaceDE w:val="0"/>
        <w:autoSpaceDN w:val="0"/>
        <w:adjustRightInd w:val="0"/>
        <w:spacing w:before="29" w:line="288" w:lineRule="auto"/>
        <w:rPr>
          <w:kern w:val="0"/>
          <w:sz w:val="24"/>
        </w:rPr>
      </w:pPr>
      <w:r w:rsidRPr="007F52FA">
        <w:rPr>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P="006B32A4" w:rsidR="006B32A4" w:rsidRDefault="00C33577" w:rsidRPr="007F52FA">
      <w:pPr>
        <w:autoSpaceDE w:val="0"/>
        <w:autoSpaceDN w:val="0"/>
        <w:adjustRightInd w:val="0"/>
        <w:spacing w:before="29" w:line="288" w:lineRule="auto"/>
        <w:jc w:val="right"/>
        <w:rPr>
          <w:kern w:val="0"/>
          <w:sz w:val="24"/>
        </w:rPr>
      </w:pPr>
      <w:r w:rsidRPr="00C33577">
        <w:rPr>
          <w:rFonts w:hint="eastAsia"/>
          <w:kern w:val="0"/>
          <w:sz w:val="24"/>
        </w:rPr>
        <w:t/>
      </w:r>
      <w:r w:rsidRPr="00C33577">
        <w:rPr>
          <w:rFonts w:hint="eastAsia"/>
          <w:kern w:val="0"/>
          <w:sz w:val="24"/>
        </w:rPr>
        <w:t>金额单位：人民币元</w:t>
      </w:r>
    </w:p>
    <w:tbl>
      <w:tblPr>
        <w:tblStyle w:val="af2"/>
        <w:tblW w:type="dxa" w:w="8868"/>
        <w:jc w:val="center"/>
        <w:tblLook w:firstColumn="1" w:firstRow="1" w:lastColumn="0" w:lastRow="0" w:noHBand="0" w:noVBand="1" w:val="04A0"/>
      </w:tblPr>
      <w:tblGrid>
        <w:gridCol w:w="1260"/>
        <w:gridCol w:w="2706"/>
        <w:gridCol w:w="4902"/>
      </w:tblGrid>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type="dxa" w:w="281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type="dxa" w:w="490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122,390.94</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lastRenderedPageBreak/>
              <w:t>2</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181,936.27</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3</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4</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14,015,307.60</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5</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176,336.42</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6</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7</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8</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9</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14,495,971.23</w:t>
            </w:r>
          </w:p>
        </w:tc>
      </w:tr>
    </w:tbl>
    <w:p w:rsidP="007C14DF" w:rsidR="001D5CD0" w:rsidRDefault="001D5CD0" w:rsidRPr="007F52FA">
      <w:pPr>
        <w:autoSpaceDE w:val="0"/>
        <w:autoSpaceDN w:val="0"/>
        <w:adjustRightInd w:val="0"/>
        <w:spacing w:before="29" w:line="288" w:lineRule="auto"/>
        <w:jc w:val="left"/>
        <w:rPr>
          <w:sz w:val="24"/>
        </w:rPr>
      </w:pPr>
    </w:p>
    <w:p w:rsidP="007C14DF" w:rsidR="001D5CD0" w:rsidRDefault="001D5CD0" w:rsidRPr="00143E9C">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P="007C14DF" w:rsidR="001D5CD0" w:rsidRDefault="001D5CD0" w:rsidRPr="00143E9C">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本基金本报告期末前十名股票中不存在流通受限情况。</w:t>
      </w:r>
    </w:p>
    <w:p w:rsidP="007C14DF" w:rsidR="001D5CD0" w:rsidRDefault="001D5CD0" w:rsidRPr="00901A22">
      <w:pPr>
        <w:spacing w:before="29" w:line="288" w:lineRule="auto"/>
        <w:rPr>
          <w:rFonts w:eastAsiaTheme="minorEastAsia"/>
          <w:b/>
          <w:color w:val="000000"/>
          <w:kern w:val="0"/>
          <w:sz w:val="24"/>
        </w:rPr>
      </w:pPr>
      <w:r w:rsidRPr="00901A22">
        <w:rPr>
          <w:rFonts w:eastAsiaTheme="minorEastAsia"/>
          <w:b/>
          <w:color w:val="000000"/>
          <w:kern w:val="0"/>
          <w:sz w:val="24"/>
        </w:rPr>
        <w:t/>
      </w: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P="00A0678E" w:rsidR="001D5CD0" w:rsidRDefault="001D5CD0" w:rsidRPr="007F52FA">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P="007C14DF" w:rsidR="00EB27DE" w:rsidRDefault="00EB27DE" w:rsidRPr="007F52FA">
      <w:pPr>
        <w:spacing w:before="29" w:line="288" w:lineRule="auto"/>
        <w:rPr>
          <w:rFonts w:eastAsiaTheme="minorEastAsia"/>
          <w:color w:val="000000"/>
          <w:sz w:val="24"/>
        </w:rPr>
      </w:pPr>
    </w:p>
    <w:p w:rsidP="000A2988" w:rsidR="009238DB" w:rsidRDefault="00C51B4E" w:rsidRPr="007F52FA">
      <w:pPr>
        <w:pStyle w:val="1"/>
        <w:spacing w:after="312" w:afterLines="100" w:before="312" w:beforeLines="100" w:line="288" w:lineRule="auto"/>
        <w:jc w:val="center"/>
        <w:rPr>
          <w:rFonts w:eastAsiaTheme="minorEastAsia"/>
          <w:color w:val="000000"/>
          <w:kern w:val="0"/>
          <w:sz w:val="24"/>
          <w:szCs w:val="24"/>
        </w:rPr>
      </w:pPr>
      <w:r w:rsidRPr="00C51B4E">
        <w:rPr>
          <w:rFonts w:eastAsiaTheme="minorEastAsia"/>
          <w:color w:themeColor="text1" w:val="000000"/>
          <w:kern w:val="0"/>
          <w:sz w:val="21"/>
          <w:szCs w:val="21"/>
        </w:rPr>
        <w:t>§6</w:t>
      </w:r>
      <w:r w:rsidRPr="00C51B4E">
        <w:rPr>
          <w:rFonts w:eastAsiaTheme="minorEastAsia" w:hint="eastAsia"/>
          <w:color w:themeColor="text1" w:val="000000"/>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P="007C14DF" w:rsidR="009238DB" w:rsidRDefault="009238DB" w:rsidRPr="007F52FA">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type="dxa" w:w="8868"/>
        <w:jc w:val="center"/>
        <w:tblLayout w:type="fixed"/>
        <w:tblLook w:firstColumn="0" w:firstRow="0" w:lastColumn="0" w:lastRow="0" w:noHBand="0" w:noVBand="0" w:val="0000"/>
      </w:tblPr>
      <w:tblGrid>
        <w:gridCol w:w="4006"/>
        <w:gridCol w:w="2431"/>
        <w:gridCol w:w="2431"/>
      </w:tblGrid>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交银优择回报灵活配置混合A</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交银优择回报灵活配置混合C</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697,383,495.43</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2,561,546.84</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1,914,954.33</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1,923,231.69</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1,997,986.95</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1,476,681.72</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896AC6"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
            </w:r>
            <w:r w:rsidR="0042785F" w:rsidRPr="007F52FA">
              <w:rPr>
                <w:rFonts w:eastAsiaTheme="minorEastAsia"/>
                <w:color w:val="000000"/>
                <w:sz w:val="24"/>
              </w:rPr>
              <w:lastRenderedPageBreak/>
              <w:t>697,300,462.81</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lastRenderedPageBreak/>
              <w:t/>
            </w:r>
            <w:r w:rsidR="004D614E" w:rsidRPr="007F52FA">
              <w:rPr>
                <w:rFonts w:eastAsiaTheme="minorEastAsia"/>
                <w:color w:val="000000"/>
                <w:sz w:val="24"/>
              </w:rPr>
              <w:t/>
            </w:r>
            <w:r w:rsidR="004D614E" w:rsidRPr="007F52FA">
              <w:rPr>
                <w:rFonts w:eastAsiaTheme="minorEastAsia"/>
                <w:color w:val="000000"/>
                <w:sz w:val="24"/>
              </w:rPr>
              <w:lastRenderedPageBreak/>
              <w:t/>
            </w:r>
            <w:r w:rsidR="0042785F" w:rsidRPr="007F52FA">
              <w:rPr>
                <w:rFonts w:eastAsiaTheme="minorEastAsia"/>
                <w:color w:val="000000"/>
                <w:sz w:val="24"/>
              </w:rPr>
              <w:t>3,008,096.81</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注：1、如果本报告期间发生转换入、红利再投业务，则总申购份额中包含该业务；     </w:t>
      </w:r>
    </w:p>
    <w:p w:rsidP="007C14DF" w:rsidR="00FB3C94" w:rsidRDefault="00FB3C9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 xml:space="preserve">    2、如果本报告期间发生转换出业务，则总赎回份额中包含该业务。</w:t>
      </w:r>
    </w:p>
    <w:p w:rsidP="007C14DF" w:rsidR="00426568" w:rsidRDefault="00426568">
      <w:pPr>
        <w:autoSpaceDE w:val="0"/>
        <w:autoSpaceDN w:val="0"/>
        <w:adjustRightInd w:val="0"/>
        <w:spacing w:before="29" w:line="288" w:lineRule="auto"/>
        <w:jc w:val="left"/>
        <w:rPr>
          <w:rFonts w:eastAsiaTheme="minorEastAsia"/>
          <w:color w:val="000000"/>
          <w:sz w:val="24"/>
        </w:rPr>
      </w:pPr>
    </w:p>
    <w:p w:rsidP="000A2988" w:rsidR="000673DA" w:rsidRDefault="00C51B4E" w:rsidRPr="000673DA">
      <w:pPr>
        <w:pStyle w:val="1"/>
        <w:tabs>
          <w:tab w:pos="4156" w:val="center"/>
          <w:tab w:pos="8312" w:val="right"/>
        </w:tabs>
        <w:spacing w:after="312" w:afterLines="100" w:before="312" w:beforeLines="100" w:line="288" w:lineRule="auto"/>
        <w:jc w:val="center"/>
        <w:rPr>
          <w:sz w:val="24"/>
          <w:szCs w:val="24"/>
        </w:rPr>
      </w:pPr>
      <w:r>
        <w:rPr>
          <w:color w:val="000000"/>
          <w:kern w:val="0"/>
          <w:sz w:val="24"/>
          <w:szCs w:val="24"/>
        </w:rPr>
        <w:t>§</w:t>
      </w:r>
      <w:r>
        <w:rPr>
          <w:rFonts w:hint="eastAsia"/>
          <w:color w:val="000000"/>
          <w:kern w:val="0"/>
          <w:sz w:val="24"/>
          <w:szCs w:val="24"/>
        </w:rPr>
        <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P="007C14DF" w:rsidR="000673DA" w:rsidRDefault="000673DA" w:rsidRPr="000673DA">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P="007C14DF" w:rsidR="008A3BCC" w:rsidRDefault="00AE55CC" w:rsidRPr="00AE55CC">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P="007C14DF" w:rsidR="008A3BCC" w:rsidRDefault="008A3BCC">
      <w:pPr>
        <w:autoSpaceDE w:val="0"/>
        <w:autoSpaceDN w:val="0"/>
        <w:adjustRightInd w:val="0"/>
        <w:spacing w:before="29" w:line="288" w:lineRule="auto"/>
        <w:jc w:val="left"/>
        <w:rPr>
          <w:color w:val="000000"/>
          <w:sz w:val="24"/>
        </w:rPr>
      </w:pPr>
    </w:p>
    <w:p w:rsidP="00646AEE" w:rsidR="008A3BCC" w:rsidRDefault="000673DA" w:rsidRPr="008A3BCC">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P="007C14DF" w:rsidR="00285618" w:rsidRDefault="00285618"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P="007C14DF" w:rsidR="00F2646E" w:rsidRDefault="00F2646E" w:rsidRPr="007F52FA">
      <w:pPr>
        <w:autoSpaceDE w:val="0"/>
        <w:autoSpaceDN w:val="0"/>
        <w:adjustRightInd w:val="0"/>
        <w:spacing w:before="29" w:line="288" w:lineRule="auto"/>
        <w:jc w:val="left"/>
        <w:rPr>
          <w:rFonts w:eastAsiaTheme="minorEastAsia"/>
          <w:color w:val="000000"/>
          <w:sz w:val="24"/>
        </w:rPr>
      </w:pPr>
    </w:p>
    <w:p w:rsidP="000A2988" w:rsidR="00ED0E09" w:rsidRDefault="00ED0E09">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§8 </w:t>
      </w:r>
      <w:r w:rsidR="00F139D5">
        <w:rPr>
          <w:rFonts w:eastAsiaTheme="minorEastAsia"/>
          <w:color w:themeColor="text1" w:val="000000"/>
          <w:kern w:val="0"/>
          <w:sz w:val="21"/>
          <w:szCs w:val="21"/>
        </w:rPr>
        <w:t xml:space="preserve"> </w:t>
      </w:r>
      <w:r>
        <w:rPr>
          <w:rFonts w:eastAsiaTheme="minorEastAsia" w:hint="eastAsia"/>
          <w:color w:themeColor="text1" w:val="000000"/>
          <w:kern w:val="0"/>
          <w:sz w:val="21"/>
          <w:szCs w:val="21"/>
        </w:rPr>
        <w:t>影响投资者决策的其他重要信息</w:t>
      </w:r>
    </w:p>
    <w:p w:rsidP="00ED0E09" w:rsidR="00ED0E09" w:rsidRDefault="00ED0E09">
      <w:pPr>
        <w:autoSpaceDE w:val="0"/>
        <w:autoSpaceDN w:val="0"/>
        <w:adjustRightInd w:val="0"/>
        <w:spacing w:line="360" w:lineRule="auto"/>
        <w:jc w:val="left"/>
        <w:rPr>
          <w:rFonts w:ascii="宋体" w:hAnsi="宋体"/>
          <w:b/>
          <w:bCs/>
          <w:color w:val="000000"/>
          <w:kern w:val="0"/>
          <w:szCs w:val="21"/>
        </w:rPr>
      </w:pPr>
      <w:r>
        <w:rPr>
          <w:rFonts w:ascii="宋体" w:hAnsi="宋体" w:hint="eastAsia"/>
          <w:b/>
          <w:color w:val="000000"/>
          <w:kern w:val="0"/>
          <w:szCs w:val="21"/>
        </w:rPr>
        <w:t/>
      </w:r>
      <w:r>
        <w:rPr>
          <w:rFonts w:ascii="宋体" w:hAnsi="宋体" w:hint="eastAsia"/>
          <w:b/>
          <w:bCs/>
          <w:color w:val="000000"/>
          <w:kern w:val="0"/>
          <w:szCs w:val="21"/>
        </w:rPr>
        <w:t>8.1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2"/>
        <w:gridCol w:w="991"/>
        <w:gridCol w:w="1843"/>
        <w:gridCol w:w="851"/>
        <w:gridCol w:w="850"/>
        <w:gridCol w:w="1134"/>
        <w:gridCol w:w="1419"/>
        <w:gridCol w:w="1130"/>
      </w:tblGrid>
      <w:tr w:rsidR="00ED0E09" w:rsidTr="00ED0E09">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type="dxa" w:w="993"/>
            <w:vMerge/>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left"/>
              <w:rPr>
                <w:rFonts w:ascii="宋体" w:hAnsi="宋体"/>
                <w:b/>
                <w:bCs/>
                <w:color w:val="000000"/>
                <w:kern w:val="0"/>
                <w:szCs w:val="21"/>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hint="eastAsia"/>
                <w:color w:val="000000"/>
                <w:kern w:val="0"/>
                <w:szCs w:val="21"/>
              </w:rPr>
              <w:t>1</w:t>
            </w:r>
          </w:p>
        </w:tc>
        <w:tc>
          <w:tcPr>
            <w:vAlign w:val="center"/>
          </w:tcPr>
          <w:p>
            <w:pPr>
              <w:jc w:val="center"/>
            </w:pPr>
            <w:r>
              <w:rPr>
                <w:rFonts w:ascii="宋体" w:hAnsi="宋体" w:hint="eastAsia"/>
                <w:color w:val="000000"/>
                <w:kern w:val="0"/>
                <w:szCs w:val="21"/>
              </w:rPr>
              <w:t>2019/10/1-2019/12/31</w:t>
            </w:r>
          </w:p>
        </w:tc>
        <w:tc>
          <w:tcPr>
            <w:vAlign w:val="center"/>
          </w:tcPr>
          <w:p>
            <w:pPr>
              <w:jc w:val="center"/>
            </w:pPr>
            <w:r>
              <w:rPr>
                <w:rFonts w:ascii="宋体" w:hAnsi="宋体" w:hint="eastAsia"/>
                <w:color w:val="000000"/>
                <w:kern w:val="0"/>
                <w:szCs w:val="21"/>
              </w:rPr>
              <w:t>500,044,000.00</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500,044,000.00</w:t>
            </w:r>
          </w:p>
        </w:tc>
        <w:tc>
          <w:tcPr>
            <w:vAlign w:val="center"/>
          </w:tcPr>
          <w:p>
            <w:pPr>
              <w:jc w:val="center"/>
            </w:pPr>
            <w:r>
              <w:rPr>
                <w:rFonts w:ascii="宋体" w:hAnsi="宋体" w:hint="eastAsia"/>
                <w:color w:val="000000"/>
                <w:kern w:val="0"/>
                <w:szCs w:val="21"/>
              </w:rPr>
              <w:t>71.40%</w:t>
            </w:r>
          </w:p>
        </w:tc>
      </w:tr>
      <w:tr>
        <w:tc>
          <w:tcPr>
            <w:vMerge/>
          </w:tcPr>
          <w:p/>
        </w:tc>
        <w:tc>
          <w:tcPr>
            <w:vAlign w:val="center"/>
          </w:tcPr>
          <w:p>
            <w:pPr>
              <w:jc w:val="center"/>
            </w:pPr>
            <w:r>
              <w:rPr>
                <w:rFonts w:ascii="宋体" w:hAnsi="宋体" w:hint="eastAsia"/>
                <w:color w:val="000000"/>
                <w:kern w:val="0"/>
                <w:szCs w:val="21"/>
              </w:rPr>
              <w:t>2</w:t>
            </w:r>
          </w:p>
        </w:tc>
        <w:tc>
          <w:tcPr>
            <w:vAlign w:val="center"/>
          </w:tcPr>
          <w:p>
            <w:pPr>
              <w:jc w:val="center"/>
            </w:pPr>
            <w:r>
              <w:rPr>
                <w:rFonts w:ascii="宋体" w:hAnsi="宋体" w:hint="eastAsia"/>
                <w:color w:val="000000"/>
                <w:kern w:val="0"/>
                <w:szCs w:val="21"/>
              </w:rPr>
              <w:t>2019/10/1-2019/12/31</w:t>
            </w:r>
          </w:p>
        </w:tc>
        <w:tc>
          <w:tcPr>
            <w:vAlign w:val="center"/>
          </w:tcPr>
          <w:p>
            <w:pPr>
              <w:jc w:val="center"/>
            </w:pPr>
            <w:r>
              <w:rPr>
                <w:rFonts w:ascii="宋体" w:hAnsi="宋体" w:hint="eastAsia"/>
                <w:color w:val="000000"/>
                <w:kern w:val="0"/>
                <w:szCs w:val="21"/>
              </w:rPr>
              <w:t>193,609,874.15</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193,609,874.15</w:t>
            </w:r>
          </w:p>
        </w:tc>
        <w:tc>
          <w:tcPr>
            <w:vAlign w:val="center"/>
          </w:tcPr>
          <w:p>
            <w:pPr>
              <w:jc w:val="center"/>
            </w:pPr>
            <w:r>
              <w:rPr>
                <w:rFonts w:ascii="宋体" w:hAnsi="宋体" w:hint="eastAsia"/>
                <w:color w:val="000000"/>
                <w:kern w:val="0"/>
                <w:szCs w:val="21"/>
              </w:rPr>
              <w:t>27.65%</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0"/>
      </w:tblGrid>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
        </w:tc>
      </w:tr>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P="00ED0E09" w:rsidR="00ED0E09" w:rsidRDefault="00ED0E09">
      <w:pPr>
        <w:autoSpaceDE w:val="0"/>
        <w:autoSpaceDN w:val="0"/>
        <w:adjustRightInd w:val="0"/>
        <w:spacing w:line="360" w:lineRule="auto"/>
        <w:jc w:val="left"/>
        <w:rPr>
          <w:rFonts w:ascii="宋体" w:hAnsi="宋体"/>
          <w:b/>
          <w:bCs/>
          <w:color w:val="000000"/>
          <w:kern w:val="0"/>
          <w:szCs w:val="21"/>
        </w:rPr>
      </w:pPr>
      <w:r>
        <w:rPr>
          <w:rFonts w:ascii="宋体" w:hAnsi="宋体" w:hint="eastAsia"/>
          <w:b/>
          <w:color w:val="000000"/>
          <w:kern w:val="0"/>
          <w:szCs w:val="21"/>
        </w:rPr>
        <w:t/>
      </w:r>
      <w:r>
        <w:rPr>
          <w:rFonts w:ascii="宋体" w:hAnsi="宋体" w:hint="eastAsia"/>
          <w:b/>
          <w:bCs/>
          <w:color w:val="000000"/>
          <w:kern w:val="0"/>
          <w:szCs w:val="21"/>
        </w:rPr>
        <w:t>8.2 影响投资者决策的其他重要信息</w:t>
      </w:r>
    </w:p>
    <w:p w:rsidP="00ED0E09" w:rsidR="00ED0E09" w:rsidRDefault="00ED0E09">
      <w:pPr>
        <w:spacing w:line="360" w:lineRule="auto"/>
        <w:ind w:firstLine="420" w:firstLineChars="200"/>
        <w:rPr>
          <w:rFonts w:ascii="宋体" w:hAnsi="宋体"/>
          <w:color w:val="000000"/>
          <w:szCs w:val="21"/>
        </w:rPr>
      </w:pPr>
      <w:r>
        <w:rPr>
          <w:rFonts w:ascii="宋体" w:hAnsi="宋体" w:hint="eastAsia"/>
          <w:color w:val="000000"/>
          <w:szCs w:val="21"/>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P="007C14DF" w:rsidR="00BB1033" w:rsidRDefault="00BB1033" w:rsidRPr="007F52FA">
      <w:pPr>
        <w:spacing w:before="29" w:line="288" w:lineRule="auto"/>
        <w:ind w:firstLine="480" w:firstLineChars="200"/>
        <w:rPr>
          <w:rFonts w:eastAsiaTheme="minorEastAsia"/>
          <w:color w:val="000000"/>
          <w:sz w:val="24"/>
        </w:rPr>
      </w:pPr>
    </w:p>
    <w:p w:rsidP="000A2988" w:rsidR="00175E3A" w:rsidRDefault="009238DB" w:rsidRPr="007032A6">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P="007C14DF" w:rsidR="00FB3C94" w:rsidRDefault="00A14399"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480" w:firstLineChars="200"/>
        <w:rPr>
          <w:rFonts w:eastAsiaTheme="minorEastAsia"/>
          <w:color w:val="000000"/>
          <w:sz w:val="24"/>
        </w:rPr>
      </w:pPr>
      <w:r>
        <w:rPr>
          <w:rFonts w:eastAsiaTheme="minorEastAsia"/>
          <w:color w:val="000000"/>
          <w:sz w:val="24"/>
        </w:rPr>
        <w:t xml:space="preserve">1、中国证监会准予交银施罗德优择回报灵活配置混合型证券投资基金募集注册的文件； </w:t>
      </w:r>
    </w:p>
    <w:p>
      <w:pPr>
        <w:spacing w:before="29" w:line="288" w:lineRule="auto"/>
        <w:ind w:firstLine="480" w:firstLineChars="200"/>
        <w:rPr>
          <w:rFonts w:eastAsiaTheme="minorEastAsia"/>
          <w:color w:val="000000"/>
          <w:sz w:val="24"/>
        </w:rPr>
      </w:pPr>
      <w:r>
        <w:rPr>
          <w:rFonts w:eastAsiaTheme="minorEastAsia"/>
          <w:color w:val="000000"/>
          <w:sz w:val="24"/>
        </w:rPr>
        <w:t xml:space="preserve">2、《交银施罗德优择回报灵活配置混合型证券投资基金基金合同》； </w:t>
      </w:r>
    </w:p>
    <w:p>
      <w:pPr>
        <w:spacing w:before="29" w:line="288" w:lineRule="auto"/>
        <w:ind w:firstLine="480" w:firstLineChars="200"/>
        <w:rPr>
          <w:rFonts w:eastAsiaTheme="minorEastAsia"/>
          <w:color w:val="000000"/>
          <w:sz w:val="24"/>
        </w:rPr>
      </w:pPr>
      <w:r>
        <w:rPr>
          <w:rFonts w:eastAsiaTheme="minorEastAsia"/>
          <w:color w:val="000000"/>
          <w:sz w:val="24"/>
        </w:rPr>
        <w:t xml:space="preserve">3、《交银施罗德优择回报灵活配置混合型证券投资基金招募说明书》； </w:t>
      </w:r>
    </w:p>
    <w:p>
      <w:pPr>
        <w:spacing w:before="29" w:line="288" w:lineRule="auto"/>
        <w:ind w:firstLine="480" w:firstLineChars="200"/>
        <w:rPr>
          <w:rFonts w:eastAsiaTheme="minorEastAsia"/>
          <w:color w:val="000000"/>
          <w:sz w:val="24"/>
        </w:rPr>
      </w:pPr>
      <w:r>
        <w:rPr>
          <w:rFonts w:eastAsiaTheme="minorEastAsia"/>
          <w:color w:val="000000"/>
          <w:sz w:val="24"/>
        </w:rPr>
        <w:t xml:space="preserve">4、《交银施罗德优择回报灵活配置混合型证券投资基金托管协议》；  </w:t>
      </w:r>
    </w:p>
    <w:p>
      <w:pPr>
        <w:spacing w:before="29" w:line="288" w:lineRule="auto"/>
        <w:ind w:firstLine="480" w:firstLineChars="200"/>
        <w:rPr>
          <w:rFonts w:eastAsiaTheme="minorEastAsia"/>
          <w:color w:val="000000"/>
          <w:sz w:val="24"/>
        </w:rPr>
      </w:pPr>
      <w:r>
        <w:rPr>
          <w:rFonts w:eastAsiaTheme="minorEastAsia"/>
          <w:color w:val="000000"/>
          <w:sz w:val="24"/>
        </w:rPr>
        <w:t xml:space="preserve">5、关于申请募集注册交银施罗德优择回报灵活配置混合型证券投资基金的法律意见书； </w:t>
      </w:r>
    </w:p>
    <w:p>
      <w:pPr>
        <w:spacing w:before="29" w:line="288" w:lineRule="auto"/>
        <w:ind w:firstLine="480" w:firstLineChars="200"/>
        <w:rPr>
          <w:rFonts w:eastAsiaTheme="minorEastAsia"/>
          <w:color w:val="000000"/>
          <w:sz w:val="24"/>
        </w:rPr>
      </w:pPr>
      <w:r>
        <w:rPr>
          <w:rFonts w:eastAsiaTheme="minorEastAsia"/>
          <w:color w:val="000000"/>
          <w:sz w:val="24"/>
        </w:rPr>
        <w:t xml:space="preserve">6、基金管理人业务资格批件、营业执照； </w:t>
      </w:r>
    </w:p>
    <w:p>
      <w:pPr>
        <w:spacing w:before="29" w:line="288" w:lineRule="auto"/>
        <w:ind w:firstLine="480" w:firstLineChars="200"/>
        <w:rPr>
          <w:rFonts w:eastAsiaTheme="minorEastAsia"/>
          <w:color w:val="000000"/>
          <w:sz w:val="24"/>
        </w:rPr>
      </w:pPr>
      <w:r>
        <w:rPr>
          <w:rFonts w:eastAsiaTheme="minorEastAsia"/>
          <w:color w:val="000000"/>
          <w:sz w:val="24"/>
        </w:rPr>
        <w:t xml:space="preserve">7、基金托管人业务资格批件、营业执照； </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8、报告期内交银施罗德优择回报灵活配置混合型证券投资基金在指定报刊上各项公告的原稿。</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9.2</w:t>
      </w:r>
      <w:r w:rsidR="00FB3C94" w:rsidRPr="007F52FA">
        <w:rPr>
          <w:rFonts w:eastAsiaTheme="minorEastAsia"/>
          <w:b/>
          <w:bCs/>
          <w:color w:val="000000"/>
          <w:kern w:val="0"/>
          <w:sz w:val="24"/>
        </w:rPr>
        <w:t>存放地点</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备查文件存放于基金管理人的办公场所。</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pPr>
        <w:spacing w:before="29" w:line="288" w:lineRule="auto"/>
        <w:ind w:firstLine="480" w:firstLineChars="20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7C14DF" w:rsidR="009238DB"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P="007C14DF" w:rsidR="004D36DF" w:rsidRDefault="004D36DF" w:rsidRPr="007F52FA">
      <w:pPr>
        <w:spacing w:before="29" w:line="288" w:lineRule="auto"/>
        <w:ind w:firstLine="480" w:firstLineChars="200"/>
        <w:rPr>
          <w:rFonts w:eastAsiaTheme="minorEastAsia"/>
          <w:color w:val="000000"/>
          <w:sz w:val="24"/>
        </w:rPr>
      </w:pPr>
    </w:p>
    <w:sectPr w:rsidR="004D36DF" w:rsidRPr="007F52FA" w:rsidSect="007A5233">
      <w:footerReference r:id="rId16" w:type="even"/>
      <w:pgSz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963" w:rsidRDefault="006A0963">
      <w:r>
        <w:separator/>
      </w:r>
    </w:p>
  </w:endnote>
  <w:endnote w:type="continuationSeparator" w:id="0">
    <w:p w:rsidR="006A0963" w:rsidRDefault="006A0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F7094A" w:rsidR="007F50FB" w:rsidRDefault="007F50FB" w:rsidRPr="001D0DB0">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910F55">
      <w:rPr>
        <w:noProof/>
        <w:kern w:val="0"/>
        <w:szCs w:val="21"/>
      </w:rPr>
      <w:t>2</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910F55">
      <w:rPr>
        <w:noProof/>
        <w:kern w:val="0"/>
        <w:szCs w:val="21"/>
      </w:rPr>
      <w:t>27</w:t>
    </w:r>
    <w:r w:rsidR="0042114A">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7F50FB" w:rsidRDefault="0042114A">
    <w:pPr>
      <w:pStyle w:val="a6"/>
      <w:framePr w:hAnchor="margin" w:vAnchor="text" w:wrap="around"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6A0963" w:rsidRDefault="006A0963">
      <w:r>
        <w:separator/>
      </w:r>
    </w:p>
  </w:footnote>
  <w:footnote w:id="0" w:type="continuationSeparator">
    <w:p w:rsidR="006A0963" w:rsidRDefault="006A0963">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D3445F" w:rsidR="007F50FB" w:rsidRDefault="00D3445F" w:rsidRPr="00D3445F">
    <w:pPr>
      <w:spacing w:before="29" w:line="288" w:lineRule="auto"/>
      <w:jc w:val="right"/>
      <w:rPr>
        <w:rFonts w:eastAsiaTheme="minorEastAsia"/>
        <w:sz w:val="24"/>
      </w:rPr>
    </w:pPr>
    <w:r w:rsidRPr="00D3445F">
      <w:rPr>
        <w:rFonts w:eastAsiaTheme="minorEastAsia"/>
        <w:sz w:val="24"/>
      </w:rPr>
      <w:t>交银施罗德优择回报灵活配置混合型证券投资基金2019年第4季度报告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15:restartNumberingAfterBreak="0"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15:restartNumberingAfterBreak="0"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5">
    <w:nsid w:val="64C22724"/>
    <w:multiLevelType w:val="multilevel"/>
    <w:tmpl w:val="0409001D"/>
    <w:numStyleLink w:val="5"/>
  </w:abstractNum>
  <w:abstractNum w15:restartNumberingAfterBreak="0"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printPostScriptOverText/>
  <w:bordersDoNotSurroundHeader/>
  <w:bordersDoNotSurroundFooter/>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uiPriority="99"/>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Char"/>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6" w:type="paragraph">
    <w:name w:val="footer"/>
    <w:basedOn w:val="a"/>
    <w:rsid w:val="006A4828"/>
    <w:pPr>
      <w:tabs>
        <w:tab w:pos="4153" w:val="center"/>
        <w:tab w:pos="8306" w:val="right"/>
      </w:tabs>
      <w:snapToGrid w:val="0"/>
      <w:jc w:val="left"/>
    </w:pPr>
    <w:rPr>
      <w:sz w:val="18"/>
      <w:szCs w:val="18"/>
    </w:rPr>
  </w:style>
  <w:style w:styleId="a7" w:type="character">
    <w:name w:val="page number"/>
    <w:basedOn w:val="a1"/>
    <w:rsid w:val="006A4828"/>
  </w:style>
  <w:style w:styleId="a8"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9" w:type="paragraph">
    <w:name w:val="header"/>
    <w:basedOn w:val="a"/>
    <w:link w:val="Char0"/>
    <w:uiPriority w:val="99"/>
    <w:rsid w:val="006A4828"/>
    <w:pPr>
      <w:pBdr>
        <w:bottom w:color="auto" w:space="1" w:sz="6" w:val="single"/>
      </w:pBdr>
      <w:tabs>
        <w:tab w:pos="4153" w:val="center"/>
        <w:tab w:pos="8306" w:val="right"/>
      </w:tabs>
      <w:snapToGrid w:val="0"/>
      <w:jc w:val="center"/>
    </w:pPr>
    <w:rPr>
      <w:sz w:val="18"/>
      <w:szCs w:val="18"/>
    </w:rPr>
  </w:style>
  <w:style w:customStyle="1" w:styleId="10" w:type="character">
    <w:name w:val="已访问的超链接1"/>
    <w:basedOn w:val="a1"/>
    <w:rsid w:val="006A4828"/>
    <w:rPr>
      <w:color w:val="800080"/>
      <w:u w:val="single"/>
    </w:rPr>
  </w:style>
  <w:style w:styleId="aa" w:type="paragraph">
    <w:name w:val="List"/>
    <w:basedOn w:val="ab"/>
    <w:rsid w:val="006A4828"/>
    <w:pPr>
      <w:spacing w:after="220" w:line="220" w:lineRule="atLeast"/>
      <w:ind w:hanging="360" w:left="1440"/>
    </w:pPr>
    <w:rPr>
      <w:szCs w:val="20"/>
    </w:rPr>
  </w:style>
  <w:style w:styleId="ab" w:type="paragraph">
    <w:name w:val="Body Text"/>
    <w:basedOn w:val="a"/>
    <w:rsid w:val="006A4828"/>
    <w:pPr>
      <w:spacing w:after="120"/>
    </w:pPr>
  </w:style>
  <w:style w:styleId="ac" w:type="paragraph">
    <w:name w:val="Date"/>
    <w:basedOn w:val="a"/>
    <w:next w:val="a"/>
    <w:link w:val="Char1"/>
    <w:rsid w:val="006A4828"/>
    <w:rPr>
      <w:sz w:val="24"/>
      <w:szCs w:val="20"/>
    </w:rPr>
  </w:style>
  <w:style w:customStyle="1" w:styleId="c1" w:type="character">
    <w:name w:val="c1"/>
    <w:basedOn w:val="a1"/>
    <w:rsid w:val="006A4828"/>
    <w:rPr>
      <w:color w:val="000000"/>
      <w:sz w:val="18"/>
      <w:szCs w:val="18"/>
    </w:rPr>
  </w:style>
  <w:style w:styleId="11"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d" w:type="paragraph">
    <w:name w:val="Balloon Text"/>
    <w:basedOn w:val="a"/>
    <w:semiHidden/>
    <w:rsid w:val="006A4828"/>
    <w:rPr>
      <w:sz w:val="18"/>
      <w:szCs w:val="18"/>
    </w:rPr>
  </w:style>
  <w:style w:styleId="ae" w:type="character">
    <w:name w:val="annotation reference"/>
    <w:basedOn w:val="a1"/>
    <w:uiPriority w:val="99"/>
    <w:semiHidden/>
    <w:rsid w:val="006A4828"/>
    <w:rPr>
      <w:sz w:val="21"/>
      <w:szCs w:val="21"/>
    </w:rPr>
  </w:style>
  <w:style w:styleId="af" w:type="paragraph">
    <w:name w:val="annotation text"/>
    <w:basedOn w:val="a"/>
    <w:link w:val="Char2"/>
    <w:uiPriority w:val="99"/>
    <w:semiHidden/>
    <w:rsid w:val="006A4828"/>
    <w:pPr>
      <w:jc w:val="left"/>
    </w:pPr>
  </w:style>
  <w:style w:styleId="af0" w:type="paragraph">
    <w:name w:val="annotation subject"/>
    <w:basedOn w:val="af"/>
    <w:next w:val="af"/>
    <w:semiHidden/>
    <w:rsid w:val="006A4828"/>
    <w:rPr>
      <w:b/>
      <w:bCs/>
    </w:rPr>
  </w:style>
  <w:style w:customStyle="1" w:styleId="Char3" w:type="paragraph">
    <w:name w:val="Char"/>
    <w:basedOn w:val="a"/>
    <w:rsid w:val="006A4828"/>
  </w:style>
  <w:style w:styleId="af1" w:type="paragraph">
    <w:name w:val="Document Map"/>
    <w:basedOn w:val="a"/>
    <w:semiHidden/>
    <w:rsid w:val="000A549A"/>
    <w:pPr>
      <w:shd w:color="auto" w:fill="000080" w:val="clear"/>
    </w:pPr>
  </w:style>
  <w:style w:styleId="af2" w:type="table">
    <w:name w:val="Table Grid"/>
    <w:basedOn w:val="a2"/>
    <w:qFormat/>
    <w:rsid w:val="009A31AF"/>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f3" w:type="paragraph">
    <w:name w:val="footnote text"/>
    <w:basedOn w:val="a"/>
    <w:link w:val="Char4"/>
    <w:rsid w:val="000B251E"/>
    <w:pPr>
      <w:snapToGrid w:val="0"/>
      <w:jc w:val="left"/>
    </w:pPr>
    <w:rPr>
      <w:sz w:val="18"/>
      <w:szCs w:val="18"/>
    </w:rPr>
  </w:style>
  <w:style w:styleId="af4" w:type="character">
    <w:name w:val="footnote reference"/>
    <w:basedOn w:val="a1"/>
    <w:rsid w:val="000B251E"/>
    <w:rPr>
      <w:vertAlign w:val="superscript"/>
    </w:rPr>
  </w:style>
  <w:style w:styleId="af5"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5"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Char" w:type="character">
    <w:name w:val="纯文本 Char"/>
    <w:basedOn w:val="a1"/>
    <w:link w:val="a5"/>
    <w:uiPriority w:val="99"/>
    <w:rsid w:val="009A045B"/>
    <w:rPr>
      <w:rFonts w:ascii="宋体" w:hAnsi="Courier New"/>
      <w:kern w:val="2"/>
      <w:sz w:val="21"/>
      <w:szCs w:val="21"/>
    </w:rPr>
  </w:style>
  <w:style w:customStyle="1" w:styleId="Char4" w:type="character">
    <w:name w:val="脚注文本 Char"/>
    <w:basedOn w:val="a1"/>
    <w:link w:val="af3"/>
    <w:rsid w:val="00CB481C"/>
    <w:rPr>
      <w:kern w:val="2"/>
      <w:sz w:val="18"/>
      <w:szCs w:val="18"/>
    </w:rPr>
  </w:style>
  <w:style w:customStyle="1" w:styleId="Default" w:type="paragraph">
    <w:name w:val="Default"/>
    <w:rsid w:val="00CB481C"/>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1207F2"/>
    <w:rPr>
      <w:kern w:val="2"/>
      <w:sz w:val="18"/>
      <w:szCs w:val="18"/>
    </w:rPr>
  </w:style>
  <w:style w:customStyle="1" w:styleId="1Char" w:type="character">
    <w:name w:val="标题 1 Char"/>
    <w:basedOn w:val="a1"/>
    <w:link w:val="1"/>
    <w:uiPriority w:val="99"/>
    <w:rsid w:val="00180952"/>
    <w:rPr>
      <w:b/>
      <w:bCs/>
      <w:kern w:val="44"/>
      <w:sz w:val="44"/>
      <w:szCs w:val="44"/>
    </w:rPr>
  </w:style>
  <w:style w:customStyle="1" w:styleId="Char1" w:type="character">
    <w:name w:val="日期 Char"/>
    <w:basedOn w:val="a1"/>
    <w:link w:val="ac"/>
    <w:rsid w:val="00D66685"/>
    <w:rPr>
      <w:kern w:val="2"/>
      <w:sz w:val="24"/>
    </w:rPr>
  </w:style>
  <w:style w:styleId="af6" w:type="character">
    <w:name w:val="Strong"/>
    <w:basedOn w:val="a1"/>
    <w:uiPriority w:val="22"/>
    <w:qFormat/>
    <w:rsid w:val="00C02900"/>
    <w:rPr>
      <w:b/>
      <w:bCs/>
    </w:rPr>
  </w:style>
  <w:style w:customStyle="1" w:styleId="Char2" w:type="character">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oter4.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44E0A-9053-45FF-AFA1-C8F6CF3BC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251</TotalTime>
  <Pages>27</Pages>
  <Words>4295</Words>
  <Characters>24488</Characters>
  <Application>Microsoft Office Word</Application>
  <DocSecurity>0</DocSecurity>
  <Lines>204</Lines>
  <Paragraphs>57</Paragraphs>
  <ScaleCrop>false</ScaleCrop>
  <Company>TRT. Ltd. Co.</Company>
  <LinksUpToDate>false</LinksUpToDate>
  <CharactersWithSpaces>28726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业务系统</cp:lastModifiedBy>
  <cp:lastPrinted>2007-07-19T00:46:00Z</cp:lastPrinted>
  <dcterms:modified xsi:type="dcterms:W3CDTF">2019-10-16T02:01:00Z</dcterms:modified>
  <cp:revision>403</cp:revision>
</cp:coreProperties>
</file>