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交银施罗德持续成长主题混合型证券投资基金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中国工商银行股份有限公司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基金托管人中国工商银行股份有限公司根据本基金合同规定，于2020年1月20日复核了本报告中的财务指标、净值表现和投资组合报告等内容，保证复核内容不存在虚假记载、误导性陈述或者重大遗漏。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交银持续成长主题混合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005001</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005001</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2018年1月12日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2,743,944,070.21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评价，精选个股，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75%×沪深300指数收益率+25%×中证综合债券指数收益率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222,948,387.50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322,507,894.67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0.1250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3,825,071,443.95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1.3940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pPr>
        <w:autoSpaceDE w:val="0"/>
        <w:autoSpaceDN w:val="0"/>
        <w:adjustRightInd w:val="0"/>
        <w:spacing w:before="29" w:line="288" w:lineRule="auto"/>
        <w:jc w:val="left"/>
        <w:rPr>
          <w:color w:val="000000"/>
          <w:sz w:val="24"/>
          <w:szCs w:val="24"/>
        </w:rPr>
      </w:pPr>
      <w:r>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9.62%</w:t>
            </w:r>
          </w:p>
        </w:tc>
        <w:tc>
          <w:tcPr>
            <w:vAlign w:val="center"/>
          </w:tcPr>
          <w:p>
            <w:pPr>
              <w:jc w:val="center"/>
            </w:pPr>
            <w:r>
              <w:rPr>
                <w:color w:val="000000"/>
                <w:sz w:val="24"/>
                <w:szCs w:val="24"/>
              </w:rPr>
              <w:t>0.94%</w:t>
            </w:r>
          </w:p>
        </w:tc>
        <w:tc>
          <w:tcPr>
            <w:vAlign w:val="center"/>
          </w:tcPr>
          <w:p>
            <w:pPr>
              <w:jc w:val="center"/>
            </w:pPr>
            <w:r>
              <w:rPr>
                <w:color w:val="000000"/>
                <w:sz w:val="24"/>
                <w:szCs w:val="24"/>
              </w:rPr>
              <w:t>5.85%</w:t>
            </w:r>
          </w:p>
        </w:tc>
        <w:tc>
          <w:tcPr>
            <w:vAlign w:val="center"/>
          </w:tcPr>
          <w:p>
            <w:pPr>
              <w:jc w:val="center"/>
            </w:pPr>
            <w:r>
              <w:rPr>
                <w:color w:val="000000"/>
                <w:sz w:val="24"/>
                <w:szCs w:val="24"/>
              </w:rPr>
              <w:t>0.55%</w:t>
            </w:r>
          </w:p>
        </w:tc>
        <w:tc>
          <w:tcPr>
            <w:vAlign w:val="center"/>
          </w:tcPr>
          <w:p>
            <w:pPr>
              <w:jc w:val="center"/>
            </w:pPr>
            <w:r>
              <w:rPr>
                <w:color w:val="000000"/>
                <w:sz w:val="24"/>
                <w:szCs w:val="24"/>
              </w:rPr>
              <w:t>3.77%</w:t>
            </w:r>
          </w:p>
        </w:tc>
        <w:tc>
          <w:tcPr>
            <w:vAlign w:val="center"/>
          </w:tcPr>
          <w:p>
            <w:pPr>
              <w:jc w:val="center"/>
            </w:pPr>
            <w:r>
              <w:rPr>
                <w:color w:val="000000"/>
                <w:sz w:val="24"/>
                <w:szCs w:val="24"/>
              </w:rPr>
              <w:t>0.39%</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交银施罗德持续成长主题混合型证券投资基金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2018年1月12日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何帅</w:t>
            </w:r>
          </w:p>
        </w:tc>
        <w:tc>
          <w:tcPr>
            <w:vAlign w:val="center"/>
          </w:tcPr>
          <w:p>
            <w:pPr>
              <w:jc w:val="center"/>
            </w:pPr>
            <w:r>
              <w:rPr>
                <w:color w:val="000000"/>
                <w:sz w:val="24"/>
                <w:szCs w:val="24"/>
              </w:rPr>
              <w:t>交银优势行业混合、交银阿尔法核心混合、交银持续成长主题混合的基金经理</w:t>
            </w:r>
          </w:p>
        </w:tc>
        <w:tc>
          <w:tcPr>
            <w:vAlign w:val="center"/>
          </w:tcPr>
          <w:p>
            <w:pPr>
              <w:jc w:val="center"/>
            </w:pPr>
            <w:r>
              <w:rPr>
                <w:color w:val="000000"/>
                <w:sz w:val="24"/>
                <w:szCs w:val="24"/>
              </w:rPr>
              <w:t>2018-01-12</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何帅先生，上海财经大学硕士。历任国联安基金管理有限公司研究员。2012年加入交银施罗德基金管理有限公司，历任行业分析师。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2019年四季度A股市场波动加大。在季初，市场较为担忧通胀压力，而在季末，市场则对新能源车、半导体及周期行业关注度快速上升，相关个股及行业获得了可观涨幅。</w:t>
      </w:r>
    </w:p>
    <w:p>
      <w:pPr>
        <w:spacing w:before="29" w:line="288" w:lineRule="auto"/>
        <w:ind w:firstLine="480" w:firstLineChars="200"/>
        <w:rPr>
          <w:color w:val="000000"/>
          <w:sz w:val="24"/>
          <w:szCs w:val="24"/>
        </w:rPr>
      </w:pPr>
      <w:r>
        <w:rPr>
          <w:color w:val="000000"/>
          <w:sz w:val="24"/>
          <w:szCs w:val="24"/>
        </w:rPr>
        <w:t>本基金在四季度跑赢业绩比较基准，主要原因是持仓结构偏向成长类，以及相关个股估值回升。</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流动性相对宽松，其他大类资产预期回报较低的环境下，我们整体对市场中长期表现相对乐观，市场吸引力可能会缓慢显现。但从短期看，四季度市场对于2020年可能的变化机会开始提前预期和表现，比如新能源车及周期行业。同时优质“核心资产”估值稳定提升，使得一些2020年增长确定的行业逐渐进行了估值切换。虽然从侧面反映出市场情绪较好，但也蕴含了提前透支预期的可能。所以在这个时点，我们将更多从安全性的角度，寻找未来两到三年成长性较为确定，并且估值合理的标的。我们希望通过深度研究，找到需求可持续增长的行业，竞争力可持续拓宽的公司，享受公司价值的可持续成长，并希望以此能够持续为持有人获得超额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2,756,938,557.48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71.61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2,756,938,557.48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71.61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180,237,000.00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4.68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180,237,000.00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4.68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297,000,565.50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7.71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607,398,629.70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15.78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8,527,274.55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0.22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3,850,102,027.23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33,938,965.00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0.89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956,355,092.73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150,832,885.44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21,861,868.00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0.57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908,890,109.45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23.76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153,338,775.26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383,718,117.57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10.03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5,969,949.09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6,578.04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142,026,216.90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2,756,938,557.48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72.08</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12,410,481</w:t>
            </w:r>
          </w:p>
        </w:tc>
        <w:tc>
          <w:tcPr>
            <w:vAlign w:val="center"/>
          </w:tcPr>
          <w:p>
            <w:pPr>
              <w:jc w:val="right"/>
            </w:pPr>
            <w:r>
              <w:rPr>
                <w:color w:val="000000"/>
                <w:sz w:val="24"/>
                <w:szCs w:val="24"/>
              </w:rPr>
              <w:t>212,219,225.10</w:t>
            </w:r>
          </w:p>
        </w:tc>
        <w:tc>
          <w:tcPr>
            <w:vAlign w:val="center"/>
          </w:tcPr>
          <w:p>
            <w:pPr>
              <w:jc w:val="right"/>
            </w:pPr>
            <w:r>
              <w:rPr>
                <w:color w:val="000000"/>
                <w:sz w:val="24"/>
                <w:szCs w:val="24"/>
              </w:rPr>
              <w:t>5.55</w:t>
            </w:r>
          </w:p>
        </w:tc>
      </w:tr>
      <w:tr>
        <w:tc>
          <w:tcPr>
            <w:vAlign w:val="center"/>
          </w:tcPr>
          <w:p>
            <w:pPr>
              <w:jc w:val="center"/>
            </w:pPr>
            <w:r>
              <w:rPr>
                <w:color w:val="000000"/>
                <w:sz w:val="24"/>
                <w:szCs w:val="24"/>
              </w:rPr>
              <w:t>2</w:t>
            </w:r>
          </w:p>
        </w:tc>
        <w:tc>
          <w:tcPr>
            <w:vAlign w:val="center"/>
          </w:tcPr>
          <w:p>
            <w:pPr>
              <w:jc w:val="center"/>
            </w:pPr>
            <w:r>
              <w:rPr>
                <w:color w:val="000000"/>
                <w:sz w:val="24"/>
                <w:szCs w:val="24"/>
              </w:rPr>
              <w:t>300078</w:t>
            </w:r>
          </w:p>
        </w:tc>
        <w:tc>
          <w:tcPr>
            <w:vAlign w:val="center"/>
          </w:tcPr>
          <w:p>
            <w:pPr>
              <w:jc w:val="center"/>
            </w:pPr>
            <w:r>
              <w:rPr>
                <w:color w:val="000000"/>
                <w:sz w:val="24"/>
                <w:szCs w:val="24"/>
              </w:rPr>
              <w:t>思创医惠</w:t>
            </w:r>
          </w:p>
        </w:tc>
        <w:tc>
          <w:tcPr>
            <w:vAlign w:val="center"/>
          </w:tcPr>
          <w:p>
            <w:pPr>
              <w:jc w:val="right"/>
            </w:pPr>
            <w:r>
              <w:rPr>
                <w:color w:val="000000"/>
                <w:sz w:val="24"/>
                <w:szCs w:val="24"/>
              </w:rPr>
              <w:t>13,311,148</w:t>
            </w:r>
          </w:p>
        </w:tc>
        <w:tc>
          <w:tcPr>
            <w:vAlign w:val="center"/>
          </w:tcPr>
          <w:p>
            <w:pPr>
              <w:jc w:val="right"/>
            </w:pPr>
            <w:r>
              <w:rPr>
                <w:color w:val="000000"/>
                <w:sz w:val="24"/>
                <w:szCs w:val="24"/>
              </w:rPr>
              <w:t>163,460,897.44</w:t>
            </w:r>
          </w:p>
        </w:tc>
        <w:tc>
          <w:tcPr>
            <w:vAlign w:val="center"/>
          </w:tcPr>
          <w:p>
            <w:pPr>
              <w:jc w:val="right"/>
            </w:pPr>
            <w:r>
              <w:rPr>
                <w:color w:val="000000"/>
                <w:sz w:val="24"/>
                <w:szCs w:val="24"/>
              </w:rPr>
              <w:t>4.27</w:t>
            </w:r>
          </w:p>
        </w:tc>
      </w:tr>
      <w:tr>
        <w:tc>
          <w:tcPr>
            <w:vAlign w:val="center"/>
          </w:tcPr>
          <w:p>
            <w:pPr>
              <w:jc w:val="center"/>
            </w:pPr>
            <w:r>
              <w:rPr>
                <w:color w:val="000000"/>
                <w:sz w:val="24"/>
                <w:szCs w:val="24"/>
              </w:rPr>
              <w:t>3</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9,049,328</w:t>
            </w:r>
          </w:p>
        </w:tc>
        <w:tc>
          <w:tcPr>
            <w:vAlign w:val="center"/>
          </w:tcPr>
          <w:p>
            <w:pPr>
              <w:jc w:val="right"/>
            </w:pPr>
            <w:r>
              <w:rPr>
                <w:color w:val="000000"/>
                <w:sz w:val="24"/>
                <w:szCs w:val="24"/>
              </w:rPr>
              <w:t>156,824,854.24</w:t>
            </w:r>
          </w:p>
        </w:tc>
        <w:tc>
          <w:tcPr>
            <w:vAlign w:val="center"/>
          </w:tcPr>
          <w:p>
            <w:pPr>
              <w:jc w:val="right"/>
            </w:pPr>
            <w:r>
              <w:rPr>
                <w:color w:val="000000"/>
                <w:sz w:val="24"/>
                <w:szCs w:val="24"/>
              </w:rPr>
              <w:t>4.10</w:t>
            </w:r>
          </w:p>
        </w:tc>
      </w:tr>
      <w:tr>
        <w:tc>
          <w:tcPr>
            <w:vAlign w:val="center"/>
          </w:tcPr>
          <w:p>
            <w:pPr>
              <w:jc w:val="center"/>
            </w:pPr>
            <w:r>
              <w:rPr>
                <w:color w:val="000000"/>
                <w:sz w:val="24"/>
                <w:szCs w:val="24"/>
              </w:rPr>
              <w:t>4</w:t>
            </w:r>
          </w:p>
        </w:tc>
        <w:tc>
          <w:tcPr>
            <w:vAlign w:val="center"/>
          </w:tcPr>
          <w:p>
            <w:pPr>
              <w:jc w:val="center"/>
            </w:pPr>
            <w:r>
              <w:rPr>
                <w:color w:val="000000"/>
                <w:sz w:val="24"/>
                <w:szCs w:val="24"/>
              </w:rPr>
              <w:t>000501</w:t>
            </w:r>
          </w:p>
        </w:tc>
        <w:tc>
          <w:tcPr>
            <w:vAlign w:val="center"/>
          </w:tcPr>
          <w:p>
            <w:pPr>
              <w:jc w:val="center"/>
            </w:pPr>
            <w:r>
              <w:rPr>
                <w:color w:val="000000"/>
                <w:sz w:val="24"/>
                <w:szCs w:val="24"/>
              </w:rPr>
              <w:t>鄂武商A</w:t>
            </w:r>
          </w:p>
        </w:tc>
        <w:tc>
          <w:tcPr>
            <w:vAlign w:val="center"/>
          </w:tcPr>
          <w:p>
            <w:pPr>
              <w:jc w:val="right"/>
            </w:pPr>
            <w:r>
              <w:rPr>
                <w:color w:val="000000"/>
                <w:sz w:val="24"/>
                <w:szCs w:val="24"/>
              </w:rPr>
              <w:t>11,357,898</w:t>
            </w:r>
          </w:p>
        </w:tc>
        <w:tc>
          <w:tcPr>
            <w:vAlign w:val="center"/>
          </w:tcPr>
          <w:p>
            <w:pPr>
              <w:jc w:val="right"/>
            </w:pPr>
            <w:r>
              <w:rPr>
                <w:color w:val="000000"/>
                <w:sz w:val="24"/>
                <w:szCs w:val="24"/>
              </w:rPr>
              <w:t>150,832,885.44</w:t>
            </w:r>
          </w:p>
        </w:tc>
        <w:tc>
          <w:tcPr>
            <w:vAlign w:val="center"/>
          </w:tcPr>
          <w:p>
            <w:pPr>
              <w:jc w:val="right"/>
            </w:pPr>
            <w:r>
              <w:rPr>
                <w:color w:val="000000"/>
                <w:sz w:val="24"/>
                <w:szCs w:val="24"/>
              </w:rPr>
              <w:t>3.94</w:t>
            </w:r>
          </w:p>
        </w:tc>
      </w:tr>
      <w:tr>
        <w:tc>
          <w:tcPr>
            <w:vAlign w:val="center"/>
          </w:tcPr>
          <w:p>
            <w:pPr>
              <w:jc w:val="center"/>
            </w:pPr>
            <w:r>
              <w:rPr>
                <w:color w:val="000000"/>
                <w:sz w:val="24"/>
                <w:szCs w:val="24"/>
              </w:rPr>
              <w:t>5</w:t>
            </w:r>
          </w:p>
        </w:tc>
        <w:tc>
          <w:tcPr>
            <w:vAlign w:val="center"/>
          </w:tcPr>
          <w:p>
            <w:pPr>
              <w:jc w:val="center"/>
            </w:pPr>
            <w:r>
              <w:rPr>
                <w:color w:val="000000"/>
                <w:sz w:val="24"/>
                <w:szCs w:val="24"/>
              </w:rPr>
              <w:t>300365</w:t>
            </w:r>
          </w:p>
        </w:tc>
        <w:tc>
          <w:tcPr>
            <w:vAlign w:val="center"/>
          </w:tcPr>
          <w:p>
            <w:pPr>
              <w:jc w:val="center"/>
            </w:pPr>
            <w:r>
              <w:rPr>
                <w:color w:val="000000"/>
                <w:sz w:val="24"/>
                <w:szCs w:val="24"/>
              </w:rPr>
              <w:t>恒华科技</w:t>
            </w:r>
          </w:p>
        </w:tc>
        <w:tc>
          <w:tcPr>
            <w:vAlign w:val="center"/>
          </w:tcPr>
          <w:p>
            <w:pPr>
              <w:jc w:val="right"/>
            </w:pPr>
            <w:r>
              <w:rPr>
                <w:color w:val="000000"/>
                <w:sz w:val="24"/>
                <w:szCs w:val="24"/>
              </w:rPr>
              <w:t>11,580,136</w:t>
            </w:r>
          </w:p>
        </w:tc>
        <w:tc>
          <w:tcPr>
            <w:vAlign w:val="center"/>
          </w:tcPr>
          <w:p>
            <w:pPr>
              <w:jc w:val="right"/>
            </w:pPr>
            <w:r>
              <w:rPr>
                <w:color w:val="000000"/>
                <w:sz w:val="24"/>
                <w:szCs w:val="24"/>
              </w:rPr>
              <w:t>149,846,959.84</w:t>
            </w:r>
          </w:p>
        </w:tc>
        <w:tc>
          <w:tcPr>
            <w:vAlign w:val="center"/>
          </w:tcPr>
          <w:p>
            <w:pPr>
              <w:jc w:val="right"/>
            </w:pPr>
            <w:r>
              <w:rPr>
                <w:color w:val="000000"/>
                <w:sz w:val="24"/>
                <w:szCs w:val="24"/>
              </w:rPr>
              <w:t>3.92</w:t>
            </w:r>
          </w:p>
        </w:tc>
      </w:tr>
      <w:tr>
        <w:tc>
          <w:tcPr>
            <w:vAlign w:val="center"/>
          </w:tcPr>
          <w:p>
            <w:pPr>
              <w:jc w:val="center"/>
            </w:pPr>
            <w:r>
              <w:rPr>
                <w:color w:val="000000"/>
                <w:sz w:val="24"/>
                <w:szCs w:val="24"/>
              </w:rPr>
              <w:t>6</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4,371,201</w:t>
            </w:r>
          </w:p>
        </w:tc>
        <w:tc>
          <w:tcPr>
            <w:vAlign w:val="center"/>
          </w:tcPr>
          <w:p>
            <w:pPr>
              <w:jc w:val="right"/>
            </w:pPr>
            <w:r>
              <w:rPr>
                <w:color w:val="000000"/>
                <w:sz w:val="24"/>
                <w:szCs w:val="24"/>
              </w:rPr>
              <w:t>140,665,248.18</w:t>
            </w:r>
          </w:p>
        </w:tc>
        <w:tc>
          <w:tcPr>
            <w:vAlign w:val="center"/>
          </w:tcPr>
          <w:p>
            <w:pPr>
              <w:jc w:val="right"/>
            </w:pPr>
            <w:r>
              <w:rPr>
                <w:color w:val="000000"/>
                <w:sz w:val="24"/>
                <w:szCs w:val="24"/>
              </w:rPr>
              <w:t>3.68</w:t>
            </w:r>
          </w:p>
        </w:tc>
      </w:tr>
      <w:tr>
        <w:tc>
          <w:tcPr>
            <w:vAlign w:val="center"/>
          </w:tcPr>
          <w:p>
            <w:pPr>
              <w:jc w:val="center"/>
            </w:pPr>
            <w:r>
              <w:rPr>
                <w:color w:val="000000"/>
                <w:sz w:val="24"/>
                <w:szCs w:val="24"/>
              </w:rPr>
              <w:t>7</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4,902,785</w:t>
            </w:r>
          </w:p>
        </w:tc>
        <w:tc>
          <w:tcPr>
            <w:vAlign w:val="center"/>
          </w:tcPr>
          <w:p>
            <w:pPr>
              <w:jc w:val="right"/>
            </w:pPr>
            <w:r>
              <w:rPr>
                <w:color w:val="000000"/>
                <w:sz w:val="24"/>
                <w:szCs w:val="24"/>
              </w:rPr>
              <w:t>135,512,977.40</w:t>
            </w:r>
          </w:p>
        </w:tc>
        <w:tc>
          <w:tcPr>
            <w:vAlign w:val="center"/>
          </w:tcPr>
          <w:p>
            <w:pPr>
              <w:jc w:val="right"/>
            </w:pPr>
            <w:r>
              <w:rPr>
                <w:color w:val="000000"/>
                <w:sz w:val="24"/>
                <w:szCs w:val="24"/>
              </w:rPr>
              <w:t>3.54</w:t>
            </w:r>
          </w:p>
        </w:tc>
      </w:tr>
      <w:tr>
        <w:tc>
          <w:tcPr>
            <w:vAlign w:val="center"/>
          </w:tcPr>
          <w:p>
            <w:pPr>
              <w:jc w:val="center"/>
            </w:pPr>
            <w:r>
              <w:rPr>
                <w:color w:val="000000"/>
                <w:sz w:val="24"/>
                <w:szCs w:val="24"/>
              </w:rPr>
              <w:t>8</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3,652,831</w:t>
            </w:r>
          </w:p>
        </w:tc>
        <w:tc>
          <w:tcPr>
            <w:vAlign w:val="center"/>
          </w:tcPr>
          <w:p>
            <w:pPr>
              <w:jc w:val="right"/>
            </w:pPr>
            <w:r>
              <w:rPr>
                <w:color w:val="000000"/>
                <w:sz w:val="24"/>
                <w:szCs w:val="24"/>
              </w:rPr>
              <w:t>133,328,331.50</w:t>
            </w:r>
          </w:p>
        </w:tc>
        <w:tc>
          <w:tcPr>
            <w:vAlign w:val="center"/>
          </w:tcPr>
          <w:p>
            <w:pPr>
              <w:jc w:val="right"/>
            </w:pPr>
            <w:r>
              <w:rPr>
                <w:color w:val="000000"/>
                <w:sz w:val="24"/>
                <w:szCs w:val="24"/>
              </w:rPr>
              <w:t>3.49</w:t>
            </w:r>
          </w:p>
        </w:tc>
      </w:tr>
      <w:tr>
        <w:tc>
          <w:tcPr>
            <w:vAlign w:val="center"/>
          </w:tcPr>
          <w:p>
            <w:pPr>
              <w:jc w:val="center"/>
            </w:pPr>
            <w:r>
              <w:rPr>
                <w:color w:val="000000"/>
                <w:sz w:val="24"/>
                <w:szCs w:val="24"/>
              </w:rPr>
              <w:t>9</w:t>
            </w:r>
          </w:p>
        </w:tc>
        <w:tc>
          <w:tcPr>
            <w:vAlign w:val="center"/>
          </w:tcPr>
          <w:p>
            <w:pPr>
              <w:jc w:val="center"/>
            </w:pPr>
            <w:r>
              <w:rPr>
                <w:color w:val="000000"/>
                <w:sz w:val="24"/>
                <w:szCs w:val="24"/>
              </w:rPr>
              <w:t>300271</w:t>
            </w:r>
          </w:p>
        </w:tc>
        <w:tc>
          <w:tcPr>
            <w:vAlign w:val="center"/>
          </w:tcPr>
          <w:p>
            <w:pPr>
              <w:jc w:val="center"/>
            </w:pPr>
            <w:r>
              <w:rPr>
                <w:color w:val="000000"/>
                <w:sz w:val="24"/>
                <w:szCs w:val="24"/>
              </w:rPr>
              <w:t>华宇软件</w:t>
            </w:r>
          </w:p>
        </w:tc>
        <w:tc>
          <w:tcPr>
            <w:vAlign w:val="center"/>
          </w:tcPr>
          <w:p>
            <w:pPr>
              <w:jc w:val="right"/>
            </w:pPr>
            <w:r>
              <w:rPr>
                <w:color w:val="000000"/>
                <w:sz w:val="24"/>
                <w:szCs w:val="24"/>
              </w:rPr>
              <w:t>5,241,486</w:t>
            </w:r>
          </w:p>
        </w:tc>
        <w:tc>
          <w:tcPr>
            <w:vAlign w:val="center"/>
          </w:tcPr>
          <w:p>
            <w:pPr>
              <w:jc w:val="right"/>
            </w:pPr>
            <w:r>
              <w:rPr>
                <w:color w:val="000000"/>
                <w:sz w:val="24"/>
                <w:szCs w:val="24"/>
              </w:rPr>
              <w:t>133,133,744.40</w:t>
            </w:r>
          </w:p>
        </w:tc>
        <w:tc>
          <w:tcPr>
            <w:vAlign w:val="center"/>
          </w:tcPr>
          <w:p>
            <w:pPr>
              <w:jc w:val="right"/>
            </w:pPr>
            <w:r>
              <w:rPr>
                <w:color w:val="000000"/>
                <w:sz w:val="24"/>
                <w:szCs w:val="24"/>
              </w:rPr>
              <w:t>3.48</w:t>
            </w:r>
          </w:p>
        </w:tc>
      </w:tr>
      <w:tr>
        <w:tc>
          <w:tcPr>
            <w:vAlign w:val="center"/>
          </w:tcPr>
          <w:p>
            <w:pPr>
              <w:jc w:val="center"/>
            </w:pPr>
            <w:r>
              <w:rPr>
                <w:color w:val="000000"/>
                <w:sz w:val="24"/>
                <w:szCs w:val="24"/>
              </w:rPr>
              <w:t>10</w:t>
            </w:r>
          </w:p>
        </w:tc>
        <w:tc>
          <w:tcPr>
            <w:vAlign w:val="center"/>
          </w:tcPr>
          <w:p>
            <w:pPr>
              <w:jc w:val="center"/>
            </w:pPr>
            <w:r>
              <w:rPr>
                <w:color w:val="000000"/>
                <w:sz w:val="24"/>
                <w:szCs w:val="24"/>
              </w:rPr>
              <w:t>600383</w:t>
            </w:r>
          </w:p>
        </w:tc>
        <w:tc>
          <w:tcPr>
            <w:vAlign w:val="center"/>
          </w:tcPr>
          <w:p>
            <w:pPr>
              <w:jc w:val="center"/>
            </w:pPr>
            <w:r>
              <w:rPr>
                <w:color w:val="000000"/>
                <w:sz w:val="24"/>
                <w:szCs w:val="24"/>
              </w:rPr>
              <w:t>金地集团</w:t>
            </w:r>
          </w:p>
        </w:tc>
        <w:tc>
          <w:tcPr>
            <w:vAlign w:val="center"/>
          </w:tcPr>
          <w:p>
            <w:pPr>
              <w:jc w:val="right"/>
            </w:pPr>
            <w:r>
              <w:rPr>
                <w:color w:val="000000"/>
                <w:sz w:val="24"/>
                <w:szCs w:val="24"/>
              </w:rPr>
              <w:t>8,201,339</w:t>
            </w:r>
          </w:p>
        </w:tc>
        <w:tc>
          <w:tcPr>
            <w:vAlign w:val="center"/>
          </w:tcPr>
          <w:p>
            <w:pPr>
              <w:jc w:val="right"/>
            </w:pPr>
            <w:r>
              <w:rPr>
                <w:color w:val="000000"/>
                <w:sz w:val="24"/>
                <w:szCs w:val="24"/>
              </w:rPr>
              <w:t>118,919,415.50</w:t>
            </w:r>
          </w:p>
        </w:tc>
        <w:tc>
          <w:tcPr>
            <w:vAlign w:val="center"/>
          </w:tcPr>
          <w:p>
            <w:pPr>
              <w:jc w:val="right"/>
            </w:pPr>
            <w:r>
              <w:rPr>
                <w:color w:val="000000"/>
                <w:sz w:val="24"/>
                <w:szCs w:val="24"/>
              </w:rPr>
              <w:t>3.11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180,237,000.00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180,237,000.00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180,237,000.00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190405</w:t>
            </w:r>
          </w:p>
        </w:tc>
        <w:tc>
          <w:tcPr>
            <w:vAlign w:val="center"/>
          </w:tcPr>
          <w:p>
            <w:pPr>
              <w:jc w:val="center"/>
            </w:pPr>
            <w:r>
              <w:rPr>
                <w:color w:val="000000"/>
                <w:sz w:val="24"/>
                <w:szCs w:val="24"/>
              </w:rPr>
              <w:t>19农发05</w:t>
            </w:r>
          </w:p>
        </w:tc>
        <w:tc>
          <w:tcPr>
            <w:vAlign w:val="center"/>
          </w:tcPr>
          <w:p>
            <w:pPr>
              <w:jc w:val="right"/>
            </w:pPr>
            <w:r>
              <w:rPr>
                <w:color w:val="000000"/>
                <w:sz w:val="24"/>
                <w:szCs w:val="24"/>
              </w:rPr>
              <w:t>1,100,000</w:t>
            </w:r>
          </w:p>
        </w:tc>
        <w:tc>
          <w:tcPr>
            <w:vAlign w:val="center"/>
          </w:tcPr>
          <w:p>
            <w:pPr>
              <w:jc w:val="right"/>
            </w:pPr>
            <w:r>
              <w:rPr>
                <w:color w:val="000000"/>
                <w:sz w:val="24"/>
                <w:szCs w:val="24"/>
              </w:rPr>
              <w:t>110,143,000.00</w:t>
            </w:r>
          </w:p>
        </w:tc>
        <w:tc>
          <w:tcPr>
            <w:vAlign w:val="center"/>
          </w:tcPr>
          <w:p>
            <w:pPr>
              <w:jc w:val="right"/>
            </w:pPr>
            <w:r>
              <w:rPr>
                <w:color w:val="000000"/>
                <w:sz w:val="24"/>
                <w:szCs w:val="24"/>
              </w:rPr>
              <w:t>2.88</w:t>
            </w:r>
          </w:p>
        </w:tc>
      </w:tr>
      <w:tr>
        <w:tc>
          <w:tcPr>
            <w:vAlign w:val="center"/>
          </w:tcPr>
          <w:p>
            <w:pPr>
              <w:jc w:val="center"/>
            </w:pPr>
            <w:r>
              <w:rPr>
                <w:color w:val="000000"/>
                <w:sz w:val="24"/>
                <w:szCs w:val="24"/>
              </w:rPr>
              <w:t>2</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500,000</w:t>
            </w:r>
          </w:p>
        </w:tc>
        <w:tc>
          <w:tcPr>
            <w:vAlign w:val="center"/>
          </w:tcPr>
          <w:p>
            <w:pPr>
              <w:jc w:val="right"/>
            </w:pPr>
            <w:r>
              <w:rPr>
                <w:color w:val="000000"/>
                <w:sz w:val="24"/>
                <w:szCs w:val="24"/>
              </w:rPr>
              <w:t>50,080,000.00</w:t>
            </w:r>
          </w:p>
        </w:tc>
        <w:tc>
          <w:tcPr>
            <w:vAlign w:val="center"/>
          </w:tcPr>
          <w:p>
            <w:pPr>
              <w:jc w:val="right"/>
            </w:pPr>
            <w:r>
              <w:rPr>
                <w:color w:val="000000"/>
                <w:sz w:val="24"/>
                <w:szCs w:val="24"/>
              </w:rPr>
              <w:t>1.31</w:t>
            </w:r>
          </w:p>
        </w:tc>
      </w:tr>
      <w:tr>
        <w:tc>
          <w:tcPr>
            <w:vAlign w:val="center"/>
          </w:tcPr>
          <w:p>
            <w:pPr>
              <w:jc w:val="center"/>
            </w:pPr>
            <w:r>
              <w:rPr>
                <w:color w:val="000000"/>
                <w:sz w:val="24"/>
                <w:szCs w:val="24"/>
              </w:rPr>
              <w:t>3</w:t>
            </w:r>
          </w:p>
        </w:tc>
        <w:tc>
          <w:tcPr>
            <w:vAlign w:val="center"/>
          </w:tcPr>
          <w:p>
            <w:pPr>
              <w:jc w:val="center"/>
            </w:pPr>
            <w:r>
              <w:rPr>
                <w:color w:val="000000"/>
                <w:sz w:val="24"/>
                <w:szCs w:val="24"/>
              </w:rPr>
              <w:t>190307</w:t>
            </w:r>
          </w:p>
        </w:tc>
        <w:tc>
          <w:tcPr>
            <w:vAlign w:val="center"/>
          </w:tcPr>
          <w:p>
            <w:pPr>
              <w:jc w:val="center"/>
            </w:pPr>
            <w:r>
              <w:rPr>
                <w:color w:val="000000"/>
                <w:sz w:val="24"/>
                <w:szCs w:val="24"/>
              </w:rPr>
              <w:t>19进出07</w:t>
            </w:r>
          </w:p>
        </w:tc>
        <w:tc>
          <w:tcPr>
            <w:vAlign w:val="center"/>
          </w:tcPr>
          <w:p>
            <w:pPr>
              <w:jc w:val="right"/>
            </w:pPr>
            <w:r>
              <w:rPr>
                <w:color w:val="000000"/>
                <w:sz w:val="24"/>
                <w:szCs w:val="24"/>
              </w:rPr>
              <w:t>200,000</w:t>
            </w:r>
          </w:p>
        </w:tc>
        <w:tc>
          <w:tcPr>
            <w:vAlign w:val="center"/>
          </w:tcPr>
          <w:p>
            <w:pPr>
              <w:jc w:val="right"/>
            </w:pPr>
            <w:r>
              <w:rPr>
                <w:color w:val="000000"/>
                <w:sz w:val="24"/>
                <w:szCs w:val="24"/>
              </w:rPr>
              <w:t>20,014,000.00</w:t>
            </w:r>
          </w:p>
        </w:tc>
        <w:tc>
          <w:tcPr>
            <w:vAlign w:val="center"/>
          </w:tcPr>
          <w:p>
            <w:pPr>
              <w:jc w:val="right"/>
            </w:pPr>
            <w:r>
              <w:rPr>
                <w:color w:val="000000"/>
                <w:sz w:val="24"/>
                <w:szCs w:val="24"/>
              </w:rPr>
              <w:t>0.52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856,513.10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3,213,965.89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2,896,926.16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1,559,869.40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8,527,274.55</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2,580,877,743.30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486,594,300.53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323,527,973.62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2,743,944,070.21</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2019/10/1-2019/12/31</w:t>
            </w:r>
          </w:p>
        </w:tc>
        <w:tc>
          <w:tcPr>
            <w:vAlign w:val="center"/>
          </w:tcPr>
          <w:p>
            <w:pPr>
              <w:jc w:val="center"/>
            </w:pPr>
            <w:r>
              <w:rPr>
                <w:rFonts w:ascii="宋体" w:hAnsi="宋体"/>
                <w:color w:val="000000"/>
                <w:kern w:val="0"/>
              </w:rPr>
              <w:t>543,549,949.40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88,000,000.00</w:t>
            </w:r>
          </w:p>
        </w:tc>
        <w:tc>
          <w:tcPr>
            <w:vAlign w:val="center"/>
          </w:tcPr>
          <w:p>
            <w:pPr>
              <w:jc w:val="center"/>
            </w:pPr>
            <w:r>
              <w:rPr>
                <w:rFonts w:ascii="宋体" w:hAnsi="宋体"/>
                <w:color w:val="000000"/>
                <w:kern w:val="0"/>
              </w:rPr>
              <w:t>455,549,949.40</w:t>
            </w:r>
          </w:p>
        </w:tc>
        <w:tc>
          <w:tcPr>
            <w:vAlign w:val="center"/>
          </w:tcPr>
          <w:p>
            <w:pPr>
              <w:jc w:val="center"/>
            </w:pPr>
            <w:r>
              <w:rPr>
                <w:rFonts w:ascii="宋体" w:hAnsi="宋体"/>
                <w:color w:val="000000"/>
                <w:kern w:val="0"/>
              </w:rPr>
              <w:t>16.60%</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8.2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1、中国证监会准予交银施罗德持续成长主题混合型证券投资基金募集注册的文件；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2、《交银施罗德持续成长主题混合型证券投资基金基金合同》；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3、《交银施罗德持续成长主题混合型证券投资基金招募说明书》；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4、《交银施罗德持续成长主题混合型证券投资基金托管协议》；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5、关于申请募集注册交银施罗德持续成长主题混合型证券投资基金的法律意见书；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8、报告期内交银施罗德持续成长主题混合型证券投资基金在指定报刊上各项公告的原稿。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交银施罗德持续成长主题混合型证券投资基金2019年第4季度报告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