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802,672,986.27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118,205,289.05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270,468,080.17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0.3514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1,924,059,585.03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17.16%</w:t>
            </w:r>
          </w:p>
        </w:tc>
        <w:tc>
          <w:tcPr>
            <w:vAlign w:val="center"/>
          </w:tcPr>
          <w:p>
            <w:pPr>
              <w:jc w:val="center"/>
            </w:pPr>
            <w:r>
              <w:rPr>
                <w:color w:val="000000"/>
                <w:sz w:val="24"/>
                <w:szCs w:val="24"/>
              </w:rPr>
              <w:t>0.89%</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12.24%</w:t>
            </w:r>
          </w:p>
        </w:tc>
        <w:tc>
          <w:tcPr>
            <w:vAlign w:val="center"/>
          </w:tcPr>
          <w:p>
            <w:pPr>
              <w:jc w:val="center"/>
            </w:pPr>
            <w:r>
              <w:rPr>
                <w:color w:val="000000"/>
                <w:sz w:val="24"/>
                <w:szCs w:val="24"/>
              </w:rPr>
              <w:t>0.45%</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2019年四季度市场持续回暖，在贸易战缓解和科技国产化大背景下，以电子、传媒为代表的TMT行业继续提升估值，PMI再次站上荣枯线带来周期预期的反转，所以四季度建材、家电以及地产等板块也迎来较好表现。</w:t>
      </w:r>
    </w:p>
    <w:p>
      <w:pPr>
        <w:spacing w:before="29" w:line="288" w:lineRule="auto"/>
        <w:ind w:firstLine="480" w:firstLineChars="200"/>
        <w:rPr>
          <w:color w:val="000000"/>
          <w:sz w:val="24"/>
          <w:szCs w:val="24"/>
        </w:rPr>
      </w:pPr>
      <w:r>
        <w:rPr>
          <w:color w:val="000000"/>
          <w:sz w:val="24"/>
          <w:szCs w:val="24"/>
        </w:rPr>
        <w:t>经济基本面下行压力仍然存在，投资增速主要来自地产支撑，基建、制造业则没有起色，尽管因城施策、多地放开落户等手段相继出台，在人口结构带来的地产下行大周期中，地产景气周期已经持续四年之久，其未来演变更加值得警惕。资金维持宽松状态，但非大水漫灌，信贷传导依然不畅。食品价格已经推动CPI在十一月上涨到4.5%，其中非食品CPI也有向上迹象，消费品价格传导已经发生。不过PPI还在持续下滑，考虑到央行的货币政策关注的是广谱价格指数，通胀压力对于货币政策的制约目前还不是一个值得交易的要素，但需要持续关注。</w:t>
      </w:r>
    </w:p>
    <w:p>
      <w:pPr>
        <w:spacing w:before="29" w:line="288" w:lineRule="auto"/>
        <w:ind w:firstLine="480" w:firstLineChars="200"/>
        <w:rPr>
          <w:color w:val="000000"/>
          <w:sz w:val="24"/>
          <w:szCs w:val="24"/>
        </w:rPr>
      </w:pPr>
      <w:r>
        <w:rPr>
          <w:color w:val="000000"/>
          <w:sz w:val="24"/>
          <w:szCs w:val="24"/>
        </w:rPr>
        <w:t>周期位置看，由于政府的主动调控和地产行业的去库存化，很多地产企业在销售走弱的情况下加快开工和销售周转，从而拉长了周期。很多地产产业链上的经典中游制造行业在享受了四年高增长以后依然被市场追捧，导致迟迟没有合适的买点。但我们认为资本品和消费品还是有区别的，前者在历史上展现出来更强的波动性。反观其他一些经典的制造业产业链，很多已经调整了两年。另一些经典成长型产业链中，技术拐点已经出现。本基金将以更大的耐心在其中寻找造配置机会，力求控制好业绩回撤，秉承在合适的价格配置创造社会价值和经济价值的公司的投资原则，努力为持有人创造稳健回报。</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从市场估值看，“核心资产”的估值水平已经不低，科技股的价格在急速修复以后也并不便宜，进入基本面趋势投资阶段，股价波动随预期的波动而加剧。本基金将在预期较低的成长型行业中，寻找更高回报的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1,708,177,961.15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86.91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1,708,177,961.15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86.91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91,019,900.00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91,019,900.00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61,101,166.89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105,214,766.21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1,965,513,794.25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38,020,150.00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960,691,857.42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123,385,903.94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116,876,094.36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155,722,824.93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125,224,292.48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74,849,266.00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1,074,502.00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8,948,475.06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10,746,113.00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92,631,903.92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1,708,177,961.15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88.78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4,051,532</w:t>
            </w:r>
          </w:p>
        </w:tc>
        <w:tc>
          <w:tcPr>
            <w:vAlign w:val="center"/>
          </w:tcPr>
          <w:p>
            <w:pPr>
              <w:jc w:val="right"/>
            </w:pPr>
            <w:r>
              <w:rPr>
                <w:color w:val="000000"/>
                <w:sz w:val="24"/>
                <w:szCs w:val="24"/>
              </w:rPr>
              <w:t>153,512,547.48</w:t>
            </w:r>
          </w:p>
        </w:tc>
        <w:tc>
          <w:tcPr>
            <w:vAlign w:val="center"/>
          </w:tcPr>
          <w:p>
            <w:pPr>
              <w:jc w:val="right"/>
            </w:pPr>
            <w:r>
              <w:rPr>
                <w:color w:val="000000"/>
                <w:sz w:val="24"/>
                <w:szCs w:val="24"/>
              </w:rPr>
              <w:t>7.98</w:t>
            </w:r>
          </w:p>
        </w:tc>
      </w:tr>
      <w:tr>
        <w:tc>
          <w:tcPr>
            <w:vAlign w:val="center"/>
          </w:tcPr>
          <w:p>
            <w:pPr>
              <w:jc w:val="center"/>
            </w:pPr>
            <w:r>
              <w:rPr>
                <w:color w:val="000000"/>
                <w:sz w:val="24"/>
                <w:szCs w:val="24"/>
              </w:rPr>
              <w:t>2</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2,653,092</w:t>
            </w:r>
          </w:p>
        </w:tc>
        <w:tc>
          <w:tcPr>
            <w:vAlign w:val="center"/>
          </w:tcPr>
          <w:p>
            <w:pPr>
              <w:jc w:val="right"/>
            </w:pPr>
            <w:r>
              <w:rPr>
                <w:color w:val="000000"/>
                <w:sz w:val="24"/>
                <w:szCs w:val="24"/>
              </w:rPr>
              <w:t>133,079,094.72</w:t>
            </w:r>
          </w:p>
        </w:tc>
        <w:tc>
          <w:tcPr>
            <w:vAlign w:val="center"/>
          </w:tcPr>
          <w:p>
            <w:pPr>
              <w:jc w:val="right"/>
            </w:pPr>
            <w:r>
              <w:rPr>
                <w:color w:val="000000"/>
                <w:sz w:val="24"/>
                <w:szCs w:val="24"/>
              </w:rPr>
              <w:t>6.92</w:t>
            </w:r>
          </w:p>
        </w:tc>
      </w:tr>
      <w:tr>
        <w:tc>
          <w:tcPr>
            <w:vAlign w:val="center"/>
          </w:tcPr>
          <w:p>
            <w:pPr>
              <w:jc w:val="center"/>
            </w:pPr>
            <w:r>
              <w:rPr>
                <w:color w:val="000000"/>
                <w:sz w:val="24"/>
                <w:szCs w:val="24"/>
              </w:rPr>
              <w:t>3</w:t>
            </w:r>
          </w:p>
        </w:tc>
        <w:tc>
          <w:tcPr>
            <w:vAlign w:val="center"/>
          </w:tcPr>
          <w:p>
            <w:pPr>
              <w:jc w:val="center"/>
            </w:pPr>
            <w:r>
              <w:rPr>
                <w:color w:val="000000"/>
                <w:sz w:val="24"/>
                <w:szCs w:val="24"/>
              </w:rPr>
              <w:t>300118</w:t>
            </w:r>
          </w:p>
        </w:tc>
        <w:tc>
          <w:tcPr>
            <w:vAlign w:val="center"/>
          </w:tcPr>
          <w:p>
            <w:pPr>
              <w:jc w:val="center"/>
            </w:pPr>
            <w:r>
              <w:rPr>
                <w:color w:val="000000"/>
                <w:sz w:val="24"/>
                <w:szCs w:val="24"/>
              </w:rPr>
              <w:t>东方日升</w:t>
            </w:r>
          </w:p>
        </w:tc>
        <w:tc>
          <w:tcPr>
            <w:vAlign w:val="center"/>
          </w:tcPr>
          <w:p>
            <w:pPr>
              <w:jc w:val="right"/>
            </w:pPr>
            <w:r>
              <w:rPr>
                <w:color w:val="000000"/>
                <w:sz w:val="24"/>
                <w:szCs w:val="24"/>
              </w:rPr>
              <w:t>7,523,432</w:t>
            </w:r>
          </w:p>
        </w:tc>
        <w:tc>
          <w:tcPr>
            <w:vAlign w:val="center"/>
          </w:tcPr>
          <w:p>
            <w:pPr>
              <w:jc w:val="right"/>
            </w:pPr>
            <w:r>
              <w:rPr>
                <w:color w:val="000000"/>
                <w:sz w:val="24"/>
                <w:szCs w:val="24"/>
              </w:rPr>
              <w:t>104,199,533.20</w:t>
            </w:r>
          </w:p>
        </w:tc>
        <w:tc>
          <w:tcPr>
            <w:vAlign w:val="center"/>
          </w:tcPr>
          <w:p>
            <w:pPr>
              <w:jc w:val="right"/>
            </w:pPr>
            <w:r>
              <w:rPr>
                <w:color w:val="000000"/>
                <w:sz w:val="24"/>
                <w:szCs w:val="24"/>
              </w:rPr>
              <w:t>5.42</w:t>
            </w:r>
          </w:p>
        </w:tc>
      </w:tr>
      <w:tr>
        <w:tc>
          <w:tcPr>
            <w:vAlign w:val="center"/>
          </w:tcPr>
          <w:p>
            <w:pPr>
              <w:jc w:val="center"/>
            </w:pPr>
            <w:r>
              <w:rPr>
                <w:color w:val="000000"/>
                <w:sz w:val="24"/>
                <w:szCs w:val="24"/>
              </w:rPr>
              <w:t>4</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9,257,985</w:t>
            </w:r>
          </w:p>
        </w:tc>
        <w:tc>
          <w:tcPr>
            <w:vAlign w:val="center"/>
          </w:tcPr>
          <w:p>
            <w:pPr>
              <w:jc w:val="right"/>
            </w:pPr>
            <w:r>
              <w:rPr>
                <w:color w:val="000000"/>
                <w:sz w:val="24"/>
                <w:szCs w:val="24"/>
              </w:rPr>
              <w:t>98,412,380.55</w:t>
            </w:r>
          </w:p>
        </w:tc>
        <w:tc>
          <w:tcPr>
            <w:vAlign w:val="center"/>
          </w:tcPr>
          <w:p>
            <w:pPr>
              <w:jc w:val="right"/>
            </w:pPr>
            <w:r>
              <w:rPr>
                <w:color w:val="000000"/>
                <w:sz w:val="24"/>
                <w:szCs w:val="24"/>
              </w:rPr>
              <w:t>5.11</w:t>
            </w:r>
          </w:p>
        </w:tc>
      </w:tr>
      <w:tr>
        <w:tc>
          <w:tcPr>
            <w:vAlign w:val="center"/>
          </w:tcPr>
          <w:p>
            <w:pPr>
              <w:jc w:val="center"/>
            </w:pPr>
            <w:r>
              <w:rPr>
                <w:color w:val="000000"/>
                <w:sz w:val="24"/>
                <w:szCs w:val="24"/>
              </w:rPr>
              <w:t>5</w:t>
            </w:r>
          </w:p>
        </w:tc>
        <w:tc>
          <w:tcPr>
            <w:vAlign w:val="center"/>
          </w:tcPr>
          <w:p>
            <w:pPr>
              <w:jc w:val="center"/>
            </w:pPr>
            <w:r>
              <w:rPr>
                <w:color w:val="000000"/>
                <w:sz w:val="24"/>
                <w:szCs w:val="24"/>
              </w:rPr>
              <w:t>600546</w:t>
            </w:r>
          </w:p>
        </w:tc>
        <w:tc>
          <w:tcPr>
            <w:vAlign w:val="center"/>
          </w:tcPr>
          <w:p>
            <w:pPr>
              <w:jc w:val="center"/>
            </w:pPr>
            <w:r>
              <w:rPr>
                <w:color w:val="000000"/>
                <w:sz w:val="24"/>
                <w:szCs w:val="24"/>
              </w:rPr>
              <w:t>山煤国际</w:t>
            </w:r>
          </w:p>
        </w:tc>
        <w:tc>
          <w:tcPr>
            <w:vAlign w:val="center"/>
          </w:tcPr>
          <w:p>
            <w:pPr>
              <w:jc w:val="right"/>
            </w:pPr>
            <w:r>
              <w:rPr>
                <w:color w:val="000000"/>
                <w:sz w:val="24"/>
                <w:szCs w:val="24"/>
              </w:rPr>
              <w:t>14,077,053</w:t>
            </w:r>
          </w:p>
        </w:tc>
        <w:tc>
          <w:tcPr>
            <w:vAlign w:val="center"/>
          </w:tcPr>
          <w:p>
            <w:pPr>
              <w:jc w:val="right"/>
            </w:pPr>
            <w:r>
              <w:rPr>
                <w:color w:val="000000"/>
                <w:sz w:val="24"/>
                <w:szCs w:val="24"/>
              </w:rPr>
              <w:t>98,257,829.94</w:t>
            </w:r>
          </w:p>
        </w:tc>
        <w:tc>
          <w:tcPr>
            <w:vAlign w:val="center"/>
          </w:tcPr>
          <w:p>
            <w:pPr>
              <w:jc w:val="right"/>
            </w:pPr>
            <w:r>
              <w:rPr>
                <w:color w:val="000000"/>
                <w:sz w:val="24"/>
                <w:szCs w:val="24"/>
              </w:rPr>
              <w:t>5.11</w:t>
            </w:r>
          </w:p>
        </w:tc>
      </w:tr>
      <w:tr>
        <w:tc>
          <w:tcPr>
            <w:vAlign w:val="center"/>
          </w:tcPr>
          <w:p>
            <w:pPr>
              <w:jc w:val="center"/>
            </w:pPr>
            <w:r>
              <w:rPr>
                <w:color w:val="000000"/>
                <w:sz w:val="24"/>
                <w:szCs w:val="24"/>
              </w:rPr>
              <w:t>6</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2,419,577</w:t>
            </w:r>
          </w:p>
        </w:tc>
        <w:tc>
          <w:tcPr>
            <w:vAlign w:val="center"/>
          </w:tcPr>
          <w:p>
            <w:pPr>
              <w:jc w:val="right"/>
            </w:pPr>
            <w:r>
              <w:rPr>
                <w:color w:val="000000"/>
                <w:sz w:val="24"/>
                <w:szCs w:val="24"/>
              </w:rPr>
              <w:t>83,747,421.92</w:t>
            </w:r>
          </w:p>
        </w:tc>
        <w:tc>
          <w:tcPr>
            <w:vAlign w:val="center"/>
          </w:tcPr>
          <w:p>
            <w:pPr>
              <w:jc w:val="right"/>
            </w:pPr>
            <w:r>
              <w:rPr>
                <w:color w:val="000000"/>
                <w:sz w:val="24"/>
                <w:szCs w:val="24"/>
              </w:rPr>
              <w:t>4.35</w:t>
            </w:r>
          </w:p>
        </w:tc>
      </w:tr>
      <w:tr>
        <w:tc>
          <w:tcPr>
            <w:vAlign w:val="center"/>
          </w:tcPr>
          <w:p>
            <w:pPr>
              <w:jc w:val="center"/>
            </w:pPr>
            <w:r>
              <w:rPr>
                <w:color w:val="000000"/>
                <w:sz w:val="24"/>
                <w:szCs w:val="24"/>
              </w:rPr>
              <w:t>7</w:t>
            </w:r>
          </w:p>
        </w:tc>
        <w:tc>
          <w:tcPr>
            <w:vAlign w:val="center"/>
          </w:tcPr>
          <w:p>
            <w:pPr>
              <w:jc w:val="center"/>
            </w:pPr>
            <w:r>
              <w:rPr>
                <w:color w:val="000000"/>
                <w:sz w:val="24"/>
                <w:szCs w:val="24"/>
              </w:rPr>
              <w:t>002698</w:t>
            </w:r>
          </w:p>
        </w:tc>
        <w:tc>
          <w:tcPr>
            <w:vAlign w:val="center"/>
          </w:tcPr>
          <w:p>
            <w:pPr>
              <w:jc w:val="center"/>
            </w:pPr>
            <w:r>
              <w:rPr>
                <w:color w:val="000000"/>
                <w:sz w:val="24"/>
                <w:szCs w:val="24"/>
              </w:rPr>
              <w:t>博实股份</w:t>
            </w:r>
          </w:p>
        </w:tc>
        <w:tc>
          <w:tcPr>
            <w:vAlign w:val="center"/>
          </w:tcPr>
          <w:p>
            <w:pPr>
              <w:jc w:val="right"/>
            </w:pPr>
            <w:r>
              <w:rPr>
                <w:color w:val="000000"/>
                <w:sz w:val="24"/>
                <w:szCs w:val="24"/>
              </w:rPr>
              <w:t>7,201,323</w:t>
            </w:r>
          </w:p>
        </w:tc>
        <w:tc>
          <w:tcPr>
            <w:vAlign w:val="center"/>
          </w:tcPr>
          <w:p>
            <w:pPr>
              <w:jc w:val="right"/>
            </w:pPr>
            <w:r>
              <w:rPr>
                <w:color w:val="000000"/>
                <w:sz w:val="24"/>
                <w:szCs w:val="24"/>
              </w:rPr>
              <w:t>75,757,917.96</w:t>
            </w:r>
          </w:p>
        </w:tc>
        <w:tc>
          <w:tcPr>
            <w:vAlign w:val="center"/>
          </w:tcPr>
          <w:p>
            <w:pPr>
              <w:jc w:val="right"/>
            </w:pPr>
            <w:r>
              <w:rPr>
                <w:color w:val="000000"/>
                <w:sz w:val="24"/>
                <w:szCs w:val="24"/>
              </w:rPr>
              <w:t>3.94</w:t>
            </w:r>
          </w:p>
        </w:tc>
      </w:tr>
      <w:tr>
        <w:tc>
          <w:tcPr>
            <w:vAlign w:val="center"/>
          </w:tcPr>
          <w:p>
            <w:pPr>
              <w:jc w:val="center"/>
            </w:pPr>
            <w:r>
              <w:rPr>
                <w:color w:val="000000"/>
                <w:sz w:val="24"/>
                <w:szCs w:val="24"/>
              </w:rPr>
              <w:t>8</w:t>
            </w:r>
          </w:p>
        </w:tc>
        <w:tc>
          <w:tcPr>
            <w:vAlign w:val="center"/>
          </w:tcPr>
          <w:p>
            <w:pPr>
              <w:jc w:val="center"/>
            </w:pPr>
            <w:r>
              <w:rPr>
                <w:color w:val="000000"/>
                <w:sz w:val="24"/>
                <w:szCs w:val="24"/>
              </w:rPr>
              <w:t>002928</w:t>
            </w:r>
          </w:p>
        </w:tc>
        <w:tc>
          <w:tcPr>
            <w:vAlign w:val="center"/>
          </w:tcPr>
          <w:p>
            <w:pPr>
              <w:jc w:val="center"/>
            </w:pPr>
            <w:r>
              <w:rPr>
                <w:color w:val="000000"/>
                <w:sz w:val="24"/>
                <w:szCs w:val="24"/>
              </w:rPr>
              <w:t>华夏航空</w:t>
            </w:r>
          </w:p>
        </w:tc>
        <w:tc>
          <w:tcPr>
            <w:vAlign w:val="center"/>
          </w:tcPr>
          <w:p>
            <w:pPr>
              <w:jc w:val="right"/>
            </w:pPr>
            <w:r>
              <w:rPr>
                <w:color w:val="000000"/>
                <w:sz w:val="24"/>
                <w:szCs w:val="24"/>
              </w:rPr>
              <w:t>5,974,752</w:t>
            </w:r>
          </w:p>
        </w:tc>
        <w:tc>
          <w:tcPr>
            <w:vAlign w:val="center"/>
          </w:tcPr>
          <w:p>
            <w:pPr>
              <w:jc w:val="right"/>
            </w:pPr>
            <w:r>
              <w:rPr>
                <w:color w:val="000000"/>
                <w:sz w:val="24"/>
                <w:szCs w:val="24"/>
              </w:rPr>
              <w:t>72,772,479.36</w:t>
            </w:r>
          </w:p>
        </w:tc>
        <w:tc>
          <w:tcPr>
            <w:vAlign w:val="center"/>
          </w:tcPr>
          <w:p>
            <w:pPr>
              <w:jc w:val="right"/>
            </w:pPr>
            <w:r>
              <w:rPr>
                <w:color w:val="000000"/>
                <w:sz w:val="24"/>
                <w:szCs w:val="24"/>
              </w:rPr>
              <w:t>3.78</w:t>
            </w:r>
          </w:p>
        </w:tc>
      </w:tr>
      <w:tr>
        <w:tc>
          <w:tcPr>
            <w:vAlign w:val="center"/>
          </w:tcPr>
          <w:p>
            <w:pPr>
              <w:jc w:val="center"/>
            </w:pPr>
            <w:r>
              <w:rPr>
                <w:color w:val="000000"/>
                <w:sz w:val="24"/>
                <w:szCs w:val="24"/>
              </w:rPr>
              <w:t>9</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398,266</w:t>
            </w:r>
          </w:p>
        </w:tc>
        <w:tc>
          <w:tcPr>
            <w:vAlign w:val="center"/>
          </w:tcPr>
          <w:p>
            <w:pPr>
              <w:jc w:val="right"/>
            </w:pPr>
            <w:r>
              <w:rPr>
                <w:color w:val="000000"/>
                <w:sz w:val="24"/>
                <w:szCs w:val="24"/>
              </w:rPr>
              <w:t>62,615,380.52</w:t>
            </w:r>
          </w:p>
        </w:tc>
        <w:tc>
          <w:tcPr>
            <w:vAlign w:val="center"/>
          </w:tcPr>
          <w:p>
            <w:pPr>
              <w:jc w:val="right"/>
            </w:pPr>
            <w:r>
              <w:rPr>
                <w:color w:val="000000"/>
                <w:sz w:val="24"/>
                <w:szCs w:val="24"/>
              </w:rPr>
              <w:t>3.25</w:t>
            </w:r>
          </w:p>
        </w:tc>
      </w:tr>
      <w:tr>
        <w:tc>
          <w:tcPr>
            <w:vAlign w:val="center"/>
          </w:tcPr>
          <w:p>
            <w:pPr>
              <w:jc w:val="center"/>
            </w:pPr>
            <w:r>
              <w:rPr>
                <w:color w:val="000000"/>
                <w:sz w:val="24"/>
                <w:szCs w:val="24"/>
              </w:rPr>
              <w:t>10</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1,427,147</w:t>
            </w:r>
          </w:p>
        </w:tc>
        <w:tc>
          <w:tcPr>
            <w:vAlign w:val="center"/>
          </w:tcPr>
          <w:p>
            <w:pPr>
              <w:jc w:val="right"/>
            </w:pPr>
            <w:r>
              <w:rPr>
                <w:color w:val="000000"/>
                <w:sz w:val="24"/>
                <w:szCs w:val="24"/>
              </w:rPr>
              <w:t>54,003,242.48</w:t>
            </w:r>
          </w:p>
        </w:tc>
        <w:tc>
          <w:tcPr>
            <w:vAlign w:val="center"/>
          </w:tcPr>
          <w:p>
            <w:pPr>
              <w:jc w:val="right"/>
            </w:pPr>
            <w:r>
              <w:rPr>
                <w:color w:val="000000"/>
                <w:sz w:val="24"/>
                <w:szCs w:val="24"/>
              </w:rPr>
              <w:t>2.81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90,147,000.00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90,147,000.00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872,900.00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91,019,900.00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600,000</w:t>
            </w:r>
          </w:p>
        </w:tc>
        <w:tc>
          <w:tcPr>
            <w:vAlign w:val="center"/>
          </w:tcPr>
          <w:p>
            <w:pPr>
              <w:jc w:val="right"/>
            </w:pPr>
            <w:r>
              <w:rPr>
                <w:color w:val="000000"/>
                <w:sz w:val="24"/>
                <w:szCs w:val="24"/>
              </w:rPr>
              <w:t>60,096,000.00</w:t>
            </w:r>
          </w:p>
        </w:tc>
        <w:tc>
          <w:tcPr>
            <w:vAlign w:val="center"/>
          </w:tcPr>
          <w:p>
            <w:pPr>
              <w:jc w:val="right"/>
            </w:pPr>
            <w:r>
              <w:rPr>
                <w:color w:val="000000"/>
                <w:sz w:val="24"/>
                <w:szCs w:val="24"/>
              </w:rPr>
              <w:t>3.12</w:t>
            </w:r>
          </w:p>
        </w:tc>
      </w:tr>
      <w:tr>
        <w:tc>
          <w:tcPr>
            <w:vAlign w:val="center"/>
          </w:tcPr>
          <w:p>
            <w:pPr>
              <w:jc w:val="center"/>
            </w:pPr>
            <w:r>
              <w:rPr>
                <w:color w:val="000000"/>
                <w:sz w:val="24"/>
                <w:szCs w:val="24"/>
              </w:rPr>
              <w:t>2</w:t>
            </w:r>
          </w:p>
        </w:tc>
        <w:tc>
          <w:tcPr>
            <w:vAlign w:val="center"/>
          </w:tcPr>
          <w:p>
            <w:pPr>
              <w:jc w:val="center"/>
            </w:pPr>
            <w:r>
              <w:rPr>
                <w:color w:val="000000"/>
                <w:sz w:val="24"/>
                <w:szCs w:val="24"/>
              </w:rPr>
              <w:t>190304</w:t>
            </w:r>
          </w:p>
        </w:tc>
        <w:tc>
          <w:tcPr>
            <w:vAlign w:val="center"/>
          </w:tcPr>
          <w:p>
            <w:pPr>
              <w:jc w:val="center"/>
            </w:pPr>
            <w:r>
              <w:rPr>
                <w:color w:val="000000"/>
                <w:sz w:val="24"/>
                <w:szCs w:val="24"/>
              </w:rPr>
              <w:t>19进出04</w:t>
            </w:r>
          </w:p>
        </w:tc>
        <w:tc>
          <w:tcPr>
            <w:vAlign w:val="center"/>
          </w:tcPr>
          <w:p>
            <w:pPr>
              <w:jc w:val="right"/>
            </w:pPr>
            <w:r>
              <w:rPr>
                <w:color w:val="000000"/>
                <w:sz w:val="24"/>
                <w:szCs w:val="24"/>
              </w:rPr>
              <w:t>300,000</w:t>
            </w:r>
          </w:p>
        </w:tc>
        <w:tc>
          <w:tcPr>
            <w:vAlign w:val="center"/>
          </w:tcPr>
          <w:p>
            <w:pPr>
              <w:jc w:val="right"/>
            </w:pPr>
            <w:r>
              <w:rPr>
                <w:color w:val="000000"/>
                <w:sz w:val="24"/>
                <w:szCs w:val="24"/>
              </w:rPr>
              <w:t>30,051,000.00</w:t>
            </w:r>
          </w:p>
        </w:tc>
        <w:tc>
          <w:tcPr>
            <w:vAlign w:val="center"/>
          </w:tcPr>
          <w:p>
            <w:pPr>
              <w:jc w:val="right"/>
            </w:pPr>
            <w:r>
              <w:rPr>
                <w:color w:val="000000"/>
                <w:sz w:val="24"/>
                <w:szCs w:val="24"/>
              </w:rPr>
              <w:t>1.56</w:t>
            </w:r>
          </w:p>
        </w:tc>
      </w:tr>
      <w:tr>
        <w:tc>
          <w:tcPr>
            <w:vAlign w:val="center"/>
          </w:tcPr>
          <w:p>
            <w:pPr>
              <w:jc w:val="center"/>
            </w:pPr>
            <w:r>
              <w:rPr>
                <w:color w:val="000000"/>
                <w:sz w:val="24"/>
                <w:szCs w:val="24"/>
              </w:rPr>
              <w:t>3</w:t>
            </w:r>
          </w:p>
        </w:tc>
        <w:tc>
          <w:tcPr>
            <w:vAlign w:val="center"/>
          </w:tcPr>
          <w:p>
            <w:pPr>
              <w:jc w:val="center"/>
            </w:pPr>
            <w:r>
              <w:rPr>
                <w:color w:val="000000"/>
                <w:sz w:val="24"/>
                <w:szCs w:val="24"/>
              </w:rPr>
              <w:t>123036</w:t>
            </w:r>
          </w:p>
        </w:tc>
        <w:tc>
          <w:tcPr>
            <w:vAlign w:val="center"/>
          </w:tcPr>
          <w:p>
            <w:pPr>
              <w:jc w:val="center"/>
            </w:pPr>
            <w:r>
              <w:rPr>
                <w:color w:val="000000"/>
                <w:sz w:val="24"/>
                <w:szCs w:val="24"/>
              </w:rPr>
              <w:t>先导转债</w:t>
            </w:r>
          </w:p>
        </w:tc>
        <w:tc>
          <w:tcPr>
            <w:vAlign w:val="center"/>
          </w:tcPr>
          <w:p>
            <w:pPr>
              <w:jc w:val="right"/>
            </w:pPr>
            <w:r>
              <w:rPr>
                <w:color w:val="000000"/>
                <w:sz w:val="24"/>
                <w:szCs w:val="24"/>
              </w:rPr>
              <w:t>8,729</w:t>
            </w:r>
          </w:p>
        </w:tc>
        <w:tc>
          <w:tcPr>
            <w:vAlign w:val="center"/>
          </w:tcPr>
          <w:p>
            <w:pPr>
              <w:jc w:val="right"/>
            </w:pPr>
            <w:r>
              <w:rPr>
                <w:color w:val="000000"/>
                <w:sz w:val="24"/>
                <w:szCs w:val="24"/>
              </w:rPr>
              <w:t>872,900.00</w:t>
            </w:r>
          </w:p>
        </w:tc>
        <w:tc>
          <w:tcPr>
            <w:vAlign w:val="center"/>
          </w:tcPr>
          <w:p>
            <w:pPr>
              <w:jc w:val="right"/>
            </w:pPr>
            <w:r>
              <w:rPr>
                <w:color w:val="000000"/>
                <w:sz w:val="24"/>
                <w:szCs w:val="24"/>
              </w:rPr>
              <w:t>0.05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940,742.25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1,647,003.41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102,627,020.55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105,214,766.21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17,334,900.00</w:t>
            </w:r>
          </w:p>
        </w:tc>
        <w:tc>
          <w:tcPr>
            <w:vAlign w:val="center"/>
          </w:tcPr>
          <w:p>
            <w:pPr>
              <w:jc w:val="right"/>
            </w:pPr>
            <w:r>
              <w:rPr>
                <w:color w:val="000000"/>
                <w:sz w:val="24"/>
                <w:szCs w:val="24"/>
              </w:rPr>
              <w:t>0.90</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12,134,430.00</w:t>
            </w:r>
          </w:p>
        </w:tc>
        <w:tc>
          <w:tcPr>
            <w:vAlign w:val="center"/>
          </w:tcPr>
          <w:p>
            <w:pPr>
              <w:jc w:val="right"/>
            </w:pPr>
            <w:r>
              <w:rPr>
                <w:color w:val="000000"/>
                <w:sz w:val="24"/>
                <w:szCs w:val="24"/>
              </w:rPr>
              <w:t>0.63</w:t>
            </w:r>
          </w:p>
        </w:tc>
        <w:tc>
          <w:tcPr>
            <w:vAlign w:val="center"/>
          </w:tcPr>
          <w:p>
            <w:pPr>
              <w:jc w:val="right"/>
            </w:pPr>
            <w:r>
              <w:rPr>
                <w:color w:val="000000"/>
                <w:sz w:val="24"/>
                <w:szCs w:val="24"/>
              </w:rPr>
              <w:t>限售股送股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795,947,674.13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130,572,680.51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123,847,368.37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802,672,986.27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