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725,600,841.59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725,387,207.06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213,634.53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交银裕盈纯债债券A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交银裕盈纯债债券C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6,777,504.10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2,190.63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5,496,821.45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1,565.58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0.0081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0.0057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786,075,929.47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242,850.10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1.0837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1.1368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交银裕盈纯债债券A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0.73%</w:t>
            </w:r>
          </w:p>
        </w:tc>
        <w:tc>
          <w:tcPr>
            <w:vAlign w:val="center"/>
          </w:tcPr>
          <w:p>
            <w:pPr>
              <w:jc w:val="center"/>
            </w:pPr>
            <w:r>
              <w:rPr>
                <w:color w:val="000000"/>
                <w:sz w:val="24"/>
              </w:rPr>
              <w:t>0.02%</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0.11%</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交银裕盈纯债债券C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0.64%</w:t>
            </w:r>
          </w:p>
        </w:tc>
        <w:tc>
          <w:tcPr>
            <w:vAlign w:val="center"/>
          </w:tcPr>
          <w:p>
            <w:pPr>
              <w:jc w:val="center"/>
            </w:pPr>
            <w:r>
              <w:rPr>
                <w:color w:val="000000"/>
                <w:sz w:val="24"/>
              </w:rPr>
              <w:t>0.02%</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0.02%</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交银施罗德裕盈纯债债券型证券投资基金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2016年11月4日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交银裕盈纯债债券C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部分经济数据有所企稳，但整体上经济依然有下行压力。国内制造业景气度有低位回升迹象，十一月中采制造业PMI重返荣枯线以上，财新PMI自八月至十一月持续企稳回升。十月至十一月PPI同比降幅收窄，工业增加值同比增速上升，但FAI同比增速依然处于下行通道之中。四季度，中美贸易谈判取得重要进展，十二月中美宣布就第一阶段经贸协议文本达成一致，贸易战暂时缓和。受猪肉价格大幅上涨等因素影响，四季度CPI大幅上升至4%以上。货币政策上，受经济下行与贷款利率居高等影响，四季度央行加强逆周期调节力度。2019年11月5日央行小幅下调MLF利率5个BP，并且于当月18日同等幅度下调七天逆回购利率，释放了温和降息的信号。四季度央行加大力度呵护市场流动性，在公开市场净投放8000亿以上。</w:t>
      </w:r>
    </w:p>
    <w:p>
      <w:pPr>
        <w:spacing w:before="29" w:line="288" w:lineRule="auto"/>
        <w:ind w:firstLine="480" w:firstLineChars="200"/>
        <w:rPr>
          <w:color w:val="000000"/>
          <w:sz w:val="24"/>
        </w:rPr>
      </w:pPr>
      <w:r>
        <w:rPr>
          <w:color w:val="000000"/>
          <w:sz w:val="24"/>
        </w:rPr>
        <w:t>资金面上，四季度银行间货币市场资金面从紧平衡转向偏宽松，资金价格中枢呈前高后低走势。十月受央行公开市场净回笼及缴税等因素影响，银行间市场资金面曾一度趋紧，资金价格攀升。但在十一月央行小幅降息，尤其在十二月为了呵护市场平稳跨年，央行加大公开市场净投放力度，资金面比较宽松，资金价格大幅下行。四季度存单与存款收益率中枢自十月至十一月中上旬曾持续继续走高。但是受央行公开市场降息及宽松资金面的影响，十一月下旬后存单存款收益率已呈回落走势，十二月中下旬更是显著下降。四季度，债市整体上呈先跌后涨走势。受央行宽松不及预期，中美贸易谈判进展向好，及CPI显著走高等影响，十月至十一月上旬债市继续调整。但在2019年11月5日央行公开市场超预期降息后，债市止跌回暖；十一月下旬至十二月中旬，曾有所回调，但十二月下旬在宽松的资金面及摊余成本债基买盘等推动下，债市再次上涨。</w:t>
      </w:r>
    </w:p>
    <w:p>
      <w:pPr>
        <w:spacing w:before="29" w:line="288" w:lineRule="auto"/>
        <w:ind w:firstLine="480" w:firstLineChars="200"/>
        <w:rPr>
          <w:color w:val="000000"/>
          <w:sz w:val="24"/>
        </w:rPr>
      </w:pPr>
      <w:r>
        <w:rPr>
          <w:color w:val="000000"/>
          <w:sz w:val="24"/>
        </w:rPr>
        <w:t>基金操作方面，报告期内本基金调整债券持仓，卖出了信用债，把握市场走势，增加利率债持仓，同时择机调整组合杠杆与久期，管控风险，为持有人创造稳健的回报。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国内经济继续放缓风险依然存在。但考虑到中美贸易谈判取得进展、政府稳增长与逆周期调节政策力度加强等因素，边际放缓幅度可能继续收敛。我们预计一季度CPI同比可能继续走高，同时短期内央行货币政策将维持中性偏松，保持逆周期调节作用。我们将密切关注银保监会关于银行理财监管政策的推进情况、专项债等逆周期财政政策进展、以及中美贸易谈判后续进展情况等。组合管理方面，本基金将紧密跟踪研判宏观经济走势与央行货币政策操作，管控风险，积极跟踪把握市场机会，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723,527,588.80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91.84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723,527,588.80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91.84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46,930,143.47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1,951,781.98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15,424,797.34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787,834,311.59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11,792,617.50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1.50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711,734,971.30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90.51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661,074,971.30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84.07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723,527,588.80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92.01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1,000,000</w:t>
            </w:r>
          </w:p>
        </w:tc>
        <w:tc>
          <w:tcPr>
            <w:vAlign w:val="center"/>
          </w:tcPr>
          <w:p>
            <w:pPr>
              <w:jc w:val="right"/>
            </w:pPr>
            <w:r>
              <w:rPr>
                <w:color w:val="000000"/>
                <w:sz w:val="24"/>
              </w:rPr>
              <w:t>102,260,000.00</w:t>
            </w:r>
          </w:p>
        </w:tc>
        <w:tc>
          <w:tcPr>
            <w:vAlign w:val="center"/>
          </w:tcPr>
          <w:p>
            <w:pPr>
              <w:jc w:val="right"/>
            </w:pPr>
            <w:r>
              <w:rPr>
                <w:color w:val="000000"/>
                <w:sz w:val="24"/>
              </w:rPr>
              <w:t>13.00</w:t>
            </w:r>
          </w:p>
        </w:tc>
      </w:tr>
      <w:tr>
        <w:tc>
          <w:tcPr>
            <w:vAlign w:val="center"/>
          </w:tcPr>
          <w:p>
            <w:pPr>
              <w:jc w:val="center"/>
            </w:pPr>
            <w:r>
              <w:rPr>
                <w:color w:val="000000"/>
                <w:sz w:val="24"/>
              </w:rPr>
              <w:t>2</w:t>
            </w:r>
          </w:p>
        </w:tc>
        <w:tc>
          <w:tcPr>
            <w:vAlign w:val="center"/>
          </w:tcPr>
          <w:p>
            <w:pPr>
              <w:jc w:val="center"/>
            </w:pPr>
            <w:r>
              <w:rPr>
                <w:color w:val="000000"/>
                <w:sz w:val="24"/>
              </w:rPr>
              <w:t>190207</w:t>
            </w:r>
          </w:p>
        </w:tc>
        <w:tc>
          <w:tcPr>
            <w:vAlign w:val="center"/>
          </w:tcPr>
          <w:p>
            <w:pPr>
              <w:jc w:val="center"/>
            </w:pPr>
            <w:r>
              <w:rPr>
                <w:color w:val="000000"/>
                <w:sz w:val="24"/>
              </w:rPr>
              <w:t>19国开07</w:t>
            </w:r>
          </w:p>
        </w:tc>
        <w:tc>
          <w:tcPr>
            <w:vAlign w:val="center"/>
          </w:tcPr>
          <w:p>
            <w:pPr>
              <w:jc w:val="right"/>
            </w:pPr>
            <w:r>
              <w:rPr>
                <w:color w:val="000000"/>
                <w:sz w:val="24"/>
              </w:rPr>
              <w:t>800,000</w:t>
            </w:r>
          </w:p>
        </w:tc>
        <w:tc>
          <w:tcPr>
            <w:vAlign w:val="center"/>
          </w:tcPr>
          <w:p>
            <w:pPr>
              <w:jc w:val="right"/>
            </w:pPr>
            <w:r>
              <w:rPr>
                <w:color w:val="000000"/>
                <w:sz w:val="24"/>
              </w:rPr>
              <w:t>80,592,000.00</w:t>
            </w:r>
          </w:p>
        </w:tc>
        <w:tc>
          <w:tcPr>
            <w:vAlign w:val="center"/>
          </w:tcPr>
          <w:p>
            <w:pPr>
              <w:jc w:val="right"/>
            </w:pPr>
            <w:r>
              <w:rPr>
                <w:color w:val="000000"/>
                <w:sz w:val="24"/>
              </w:rPr>
              <w:t>10.25</w:t>
            </w:r>
          </w:p>
        </w:tc>
      </w:tr>
      <w:tr>
        <w:tc>
          <w:tcPr>
            <w:vAlign w:val="center"/>
          </w:tcPr>
          <w:p>
            <w:pPr>
              <w:jc w:val="center"/>
            </w:pPr>
            <w:r>
              <w:rPr>
                <w:color w:val="000000"/>
                <w:sz w:val="24"/>
              </w:rPr>
              <w:t>3</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700,000</w:t>
            </w:r>
          </w:p>
        </w:tc>
        <w:tc>
          <w:tcPr>
            <w:vAlign w:val="center"/>
          </w:tcPr>
          <w:p>
            <w:pPr>
              <w:jc w:val="right"/>
            </w:pPr>
            <w:r>
              <w:rPr>
                <w:color w:val="000000"/>
                <w:sz w:val="24"/>
              </w:rPr>
              <w:t>71,071,000.00</w:t>
            </w:r>
          </w:p>
        </w:tc>
        <w:tc>
          <w:tcPr>
            <w:vAlign w:val="center"/>
          </w:tcPr>
          <w:p>
            <w:pPr>
              <w:jc w:val="right"/>
            </w:pPr>
            <w:r>
              <w:rPr>
                <w:color w:val="000000"/>
                <w:sz w:val="24"/>
              </w:rPr>
              <w:t>9.04</w:t>
            </w:r>
          </w:p>
        </w:tc>
      </w:tr>
      <w:tr>
        <w:tc>
          <w:tcPr>
            <w:vAlign w:val="center"/>
          </w:tcPr>
          <w:p>
            <w:pPr>
              <w:jc w:val="center"/>
            </w:pPr>
            <w:r>
              <w:rPr>
                <w:color w:val="000000"/>
                <w:sz w:val="24"/>
              </w:rPr>
              <w:t>4</w:t>
            </w:r>
          </w:p>
        </w:tc>
        <w:tc>
          <w:tcPr>
            <w:vAlign w:val="center"/>
          </w:tcPr>
          <w:p>
            <w:pPr>
              <w:jc w:val="center"/>
            </w:pPr>
            <w:r>
              <w:rPr>
                <w:color w:val="000000"/>
                <w:sz w:val="24"/>
              </w:rPr>
              <w:t>190208</w:t>
            </w:r>
          </w:p>
        </w:tc>
        <w:tc>
          <w:tcPr>
            <w:vAlign w:val="center"/>
          </w:tcPr>
          <w:p>
            <w:pPr>
              <w:jc w:val="center"/>
            </w:pPr>
            <w:r>
              <w:rPr>
                <w:color w:val="000000"/>
                <w:sz w:val="24"/>
              </w:rPr>
              <w:t>19国开08</w:t>
            </w:r>
          </w:p>
        </w:tc>
        <w:tc>
          <w:tcPr>
            <w:vAlign w:val="center"/>
          </w:tcPr>
          <w:p>
            <w:pPr>
              <w:jc w:val="right"/>
            </w:pPr>
            <w:r>
              <w:rPr>
                <w:color w:val="000000"/>
                <w:sz w:val="24"/>
              </w:rPr>
              <w:t>600,000</w:t>
            </w:r>
          </w:p>
        </w:tc>
        <w:tc>
          <w:tcPr>
            <w:vAlign w:val="center"/>
          </w:tcPr>
          <w:p>
            <w:pPr>
              <w:jc w:val="right"/>
            </w:pPr>
            <w:r>
              <w:rPr>
                <w:color w:val="000000"/>
                <w:sz w:val="24"/>
              </w:rPr>
              <w:t>60,360,000.00</w:t>
            </w:r>
          </w:p>
        </w:tc>
        <w:tc>
          <w:tcPr>
            <w:vAlign w:val="center"/>
          </w:tcPr>
          <w:p>
            <w:pPr>
              <w:jc w:val="right"/>
            </w:pPr>
            <w:r>
              <w:rPr>
                <w:color w:val="000000"/>
                <w:sz w:val="24"/>
              </w:rPr>
              <w:t>7.68</w:t>
            </w:r>
          </w:p>
        </w:tc>
      </w:tr>
      <w:tr>
        <w:tc>
          <w:tcPr>
            <w:vAlign w:val="center"/>
          </w:tcPr>
          <w:p>
            <w:pPr>
              <w:jc w:val="center"/>
            </w:pPr>
            <w:r>
              <w:rPr>
                <w:color w:val="000000"/>
                <w:sz w:val="24"/>
              </w:rPr>
              <w:t>5</w:t>
            </w:r>
          </w:p>
        </w:tc>
        <w:tc>
          <w:tcPr>
            <w:vAlign w:val="center"/>
          </w:tcPr>
          <w:p>
            <w:pPr>
              <w:jc w:val="center"/>
            </w:pPr>
            <w:r>
              <w:rPr>
                <w:color w:val="000000"/>
                <w:sz w:val="24"/>
              </w:rPr>
              <w:t>1828016</w:t>
            </w:r>
          </w:p>
        </w:tc>
        <w:tc>
          <w:tcPr>
            <w:vAlign w:val="center"/>
          </w:tcPr>
          <w:p>
            <w:pPr>
              <w:jc w:val="center"/>
            </w:pPr>
            <w:r>
              <w:rPr>
                <w:color w:val="000000"/>
                <w:sz w:val="24"/>
              </w:rPr>
              <w:t>18民生银行01</w:t>
            </w:r>
          </w:p>
        </w:tc>
        <w:tc>
          <w:tcPr>
            <w:vAlign w:val="center"/>
          </w:tcPr>
          <w:p>
            <w:pPr>
              <w:jc w:val="right"/>
            </w:pPr>
            <w:r>
              <w:rPr>
                <w:color w:val="000000"/>
                <w:sz w:val="24"/>
              </w:rPr>
              <w:t>500,000</w:t>
            </w:r>
          </w:p>
        </w:tc>
        <w:tc>
          <w:tcPr>
            <w:vAlign w:val="center"/>
          </w:tcPr>
          <w:p>
            <w:pPr>
              <w:jc w:val="right"/>
            </w:pPr>
            <w:r>
              <w:rPr>
                <w:color w:val="000000"/>
                <w:sz w:val="24"/>
              </w:rPr>
              <w:t>50,660,000.00</w:t>
            </w:r>
          </w:p>
        </w:tc>
        <w:tc>
          <w:tcPr>
            <w:vAlign w:val="center"/>
          </w:tcPr>
          <w:p>
            <w:pPr>
              <w:jc w:val="right"/>
            </w:pPr>
            <w:r>
              <w:rPr>
                <w:color w:val="000000"/>
                <w:sz w:val="24"/>
              </w:rPr>
              <w:t>6.44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692.44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11,412,160.33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4,011,944.57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15,424,797.34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交银裕盈纯债债券A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交银裕盈纯债债券C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635,536,405.03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344,966.25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118,917,704.38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85,023.48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29,066,902.35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216,355.20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725,387,207.06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213,634.53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68.47%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1、中国证监会准予交银施罗德裕盈纯债债券型证券投资基金募集注册的文件；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2、《交银施罗德裕盈纯债债券型证券投资基金基金合同》；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3、《交银施罗德裕盈纯债债券型证券投资基金招募说明书》；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4、《交银施罗德裕盈纯债债券型证券投资基金托管协议》；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5、关于申请募集注册交银施罗德裕盈纯债债券型证券投资基金的法律意见书；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8、报告期内交银施罗德裕盈纯债债券型证券投资基金在指定报刊上各项公告的原稿。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交银施罗德裕盈纯债债券型证券投资基金2019年第4季度报告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