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交银施罗德新回报灵活配置混合型证券投资基金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二〇二〇年一月二十一日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交银新回报灵活配置混合</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519752</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2015年5月15日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439,177,277.96</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50%×沪深300指数收益率+50%×中债综合全价指数收益率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交银新回报灵活配置混合A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交银新回报灵活配置混合C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519752</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519760</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426,178,429.99</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12,998,847.97</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(2019年10月1日-2019年12月31日)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交银新回报灵活配置混合A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交银新回报灵活配置混合C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7,442,385.85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773,642.99</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15,045,627.13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1,576,122.43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0.0371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0.1265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536,133,957.09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56,628,102.31</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1.258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4.356</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注：1、上述基金A类业绩指标不包括持有人认购或交易基金的各项费用，计入费用后的实际收益水平要低于所列数字；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交银新回报灵活配置混合A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3.03%</w:t>
            </w:r>
          </w:p>
        </w:tc>
        <w:tc>
          <w:tcPr>
            <w:vAlign w:val="center"/>
          </w:tcPr>
          <w:p>
            <w:pPr>
              <w:jc w:val="center"/>
            </w:pPr>
            <w:r>
              <w:rPr>
                <w:color w:val="000000"/>
                <w:sz w:val="24"/>
              </w:rPr>
              <w:t>0.13%</w:t>
            </w:r>
          </w:p>
        </w:tc>
        <w:tc>
          <w:tcPr>
            <w:vAlign w:val="center"/>
          </w:tcPr>
          <w:p>
            <w:pPr>
              <w:jc w:val="center"/>
            </w:pPr>
            <w:r>
              <w:rPr>
                <w:color w:val="000000"/>
                <w:sz w:val="24"/>
              </w:rPr>
              <w:t>3.99%</w:t>
            </w:r>
          </w:p>
        </w:tc>
        <w:tc>
          <w:tcPr>
            <w:vAlign w:val="center"/>
          </w:tcPr>
          <w:p>
            <w:pPr>
              <w:jc w:val="center"/>
            </w:pPr>
            <w:r>
              <w:rPr>
                <w:color w:val="000000"/>
                <w:sz w:val="24"/>
              </w:rPr>
              <w:t>0.37%</w:t>
            </w:r>
          </w:p>
        </w:tc>
        <w:tc>
          <w:tcPr>
            <w:vAlign w:val="center"/>
          </w:tcPr>
          <w:p>
            <w:pPr>
              <w:jc w:val="center"/>
            </w:pPr>
            <w:r>
              <w:rPr>
                <w:color w:val="000000"/>
                <w:sz w:val="24"/>
              </w:rPr>
              <w:t>-0.96%</w:t>
            </w:r>
          </w:p>
        </w:tc>
        <w:tc>
          <w:tcPr>
            <w:vAlign w:val="center"/>
          </w:tcPr>
          <w:p>
            <w:pPr>
              <w:jc w:val="center"/>
            </w:pPr>
            <w:r>
              <w:rPr>
                <w:color w:val="000000"/>
                <w:sz w:val="24"/>
              </w:rPr>
              <w:t>-0.24%</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交银新回报灵活配置混合C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2.98%</w:t>
            </w:r>
          </w:p>
        </w:tc>
        <w:tc>
          <w:tcPr>
            <w:vAlign w:val="center"/>
          </w:tcPr>
          <w:p>
            <w:pPr>
              <w:jc w:val="center"/>
            </w:pPr>
            <w:r>
              <w:rPr>
                <w:color w:val="000000"/>
                <w:sz w:val="24"/>
              </w:rPr>
              <w:t>0.13%</w:t>
            </w:r>
          </w:p>
        </w:tc>
        <w:tc>
          <w:tcPr>
            <w:vAlign w:val="center"/>
          </w:tcPr>
          <w:p>
            <w:pPr>
              <w:jc w:val="center"/>
            </w:pPr>
            <w:r>
              <w:rPr>
                <w:color w:val="000000"/>
                <w:sz w:val="24"/>
              </w:rPr>
              <w:t>3.99%</w:t>
            </w:r>
          </w:p>
        </w:tc>
        <w:tc>
          <w:tcPr>
            <w:vAlign w:val="center"/>
          </w:tcPr>
          <w:p>
            <w:pPr>
              <w:jc w:val="center"/>
            </w:pPr>
            <w:r>
              <w:rPr>
                <w:color w:val="000000"/>
                <w:sz w:val="24"/>
              </w:rPr>
              <w:t>0.37%</w:t>
            </w:r>
          </w:p>
        </w:tc>
        <w:tc>
          <w:tcPr>
            <w:vAlign w:val="center"/>
          </w:tcPr>
          <w:p>
            <w:pPr>
              <w:jc w:val="center"/>
            </w:pPr>
            <w:r>
              <w:rPr>
                <w:color w:val="000000"/>
                <w:sz w:val="24"/>
              </w:rPr>
              <w:t>-1.01%</w:t>
            </w:r>
          </w:p>
        </w:tc>
        <w:tc>
          <w:tcPr>
            <w:vAlign w:val="center"/>
          </w:tcPr>
          <w:p>
            <w:pPr>
              <w:jc w:val="center"/>
            </w:pPr>
            <w:r>
              <w:rPr>
                <w:color w:val="000000"/>
                <w:sz w:val="24"/>
              </w:rPr>
              <w:t>-0.24%</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交银施罗德新回报灵活配置混合型证券投资基金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2015年5月15日</w:t>
      </w:r>
      <w:r w:rsidR="009A045B" w:rsidRPr="007F52FA">
        <w:rPr>
          <w:rFonts w:ascii="Times New Roman" w:hAnsi="Times New Roman"/>
          <w:sz w:val="24"/>
          <w:szCs w:val="24"/>
        </w:rPr>
        <w:t>至</w:t>
      </w:r>
      <w:r w:rsidRPr="007F52FA">
        <w:rPr>
          <w:rFonts w:ascii="Times New Roman" w:hAnsi="Times New Roman"/>
          <w:sz w:val="24"/>
          <w:szCs w:val="24"/>
        </w:rPr>
        <w:t>2019年12月31日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交银新回报灵活配置混合A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注：图示日期为2015年5月15日至2019年12月31日。本基金建仓期为自基金合同生效日起的6个月。截至建仓期结束，本基金各项资产配置比例符合基金合同及招募说明书有关投资比例的约定。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交银新回报灵活配置混合C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注：本基金自2015年11月19日起，开始销售C类份额，投资者提交的申购申请于2015年11月20日被确认并将有效份额登记在册。图示日期为2015年11月20日至2019年12月31日。</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李娜</w:t>
            </w:r>
          </w:p>
        </w:tc>
        <w:tc>
          <w:tcPr>
            <w:vAlign w:val="center"/>
          </w:tcPr>
          <w:p>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vAlign w:val="center"/>
          </w:tcPr>
          <w:p>
            <w:pPr>
              <w:jc w:val="center"/>
            </w:pPr>
            <w:r>
              <w:rPr>
                <w:color w:val="000000"/>
                <w:sz w:val="24"/>
              </w:rPr>
              <w:t>2015-08-04</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2016年9月13日至2019年1月21日担任交银施罗德领先回报灵活配置混合型证券投资基金的基金经理。</w:t>
            </w:r>
          </w:p>
        </w:tc>
      </w:tr>
      <w:tr>
        <w:tc>
          <w:tcPr>
            <w:vAlign w:val="center"/>
          </w:tcPr>
          <w:p>
            <w:pPr>
              <w:jc w:val="center"/>
            </w:pPr>
            <w:r>
              <w:rPr>
                <w:color w:val="000000"/>
                <w:sz w:val="24"/>
              </w:rPr>
              <w:t>凌超</w:t>
            </w:r>
          </w:p>
        </w:tc>
        <w:tc>
          <w:tcPr>
            <w:vAlign w:val="center"/>
          </w:tcPr>
          <w:p>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rPr>
              <w:t>2019-07-20</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both"/>
            </w:pPr>
            <w:r>
              <w:rPr>
                <w:color w:val="000000"/>
                <w:sz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受通胀预期、资金面等因素影响，收益率呈现倒V走势。十月，因通胀上行压力及社融数据较强，市场恐慌资金面收紧，债市持续回调。十一月伊始，央行持续降低政策利率，市场资金面较为宽松，债市收益率不断下行。进入十二月，资金面宽松持续，但受海外市场风险因素阶段缓解以及国内逆周期调控政策上行预期影响，长端债券收益率震荡走平，中短久期债券收益率持续下行。</w:t>
      </w:r>
    </w:p>
    <w:p>
      <w:pPr>
        <w:spacing w:before="29" w:line="288" w:lineRule="auto"/>
        <w:ind w:firstLine="480" w:firstLineChars="200"/>
        <w:rPr>
          <w:color w:val="000000"/>
          <w:sz w:val="24"/>
        </w:rPr>
      </w:pPr>
      <w:r>
        <w:rPr>
          <w:color w:val="000000"/>
          <w:sz w:val="24"/>
        </w:rPr>
        <w:t>四季度，权益市场表现相对强势，科技主线延续强势，地产和基建相关板块也有不错表现。指数层面看，成长优于大盘。从行业看，建筑、电子、家电以及传媒等板块领涨，军工及部分强周期板块表现相对弱势。</w:t>
      </w:r>
    </w:p>
    <w:p>
      <w:pPr>
        <w:spacing w:before="29" w:line="288" w:lineRule="auto"/>
        <w:ind w:firstLine="480" w:firstLineChars="200"/>
        <w:rPr>
          <w:color w:val="000000"/>
          <w:sz w:val="24"/>
        </w:rPr>
      </w:pPr>
      <w:r>
        <w:rPr>
          <w:color w:val="000000"/>
          <w:sz w:val="24"/>
        </w:rPr>
        <w:t>在基金操作中，对于债券部分我们维持中短久期高等级信用债的底仓配置，以获取稳定的票息收益。权益方面，组合秉承稳健收益的原则，以低估值高股息品种为主，并适当增加小仓位科技品种。此外，组合积极参与权益及转债的一级申购，以增厚组合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一季度，尽管经济内生企稳动力不强的情况难以扭转，中期经济承压的格局未变，但短期在宏观逆周期调控政策发力，资金面维持中性偏宽的格局下，经济增长阶段存在改善可能。考虑到债券收益率受资金面影响下行较多，因此我们对明年一季度债券市场维持震荡观望的观点，底仓配置中短久期高等级信用债品种，以获取票息收益，并根据市场变化动态调整组合久期。权益方面，我们将继续维持低估值高分红的品种配置，并在行业的选择中，逐步关注周期板块盈利存在改善的行业，同时密切关注电子、软件等领域回调具有较大空间的个股。我们将继续积极参加权益及转债的一级申购，以期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96,185,269.49</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15.40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96,185,269.49</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15.40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511,230,747.60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81.84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511,230,747.60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81.84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3,794,327.42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0.61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13,492,718.44</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2.16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624,703,062.95</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2,846,270.00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0.48</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35,329,050.65</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5.96</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3,037,866.00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0.51</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5,622,558.75</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0.95</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3,107,988.00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0.52</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3,764,139.86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0.64</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34,819,296.19</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5.87</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7,651,522.00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1.29</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6,578.04</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0.00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96,185,269.49</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16.23</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2,110,700</w:t>
            </w:r>
          </w:p>
        </w:tc>
        <w:tc>
          <w:tcPr>
            <w:vAlign w:val="center"/>
          </w:tcPr>
          <w:p>
            <w:pPr>
              <w:jc w:val="right"/>
            </w:pPr>
            <w:r>
              <w:rPr>
                <w:color w:val="000000"/>
                <w:sz w:val="24"/>
              </w:rPr>
              <w:t>12,410,916.00</w:t>
            </w:r>
          </w:p>
        </w:tc>
        <w:tc>
          <w:tcPr>
            <w:vAlign w:val="center"/>
          </w:tcPr>
          <w:p>
            <w:pPr>
              <w:jc w:val="right"/>
            </w:pPr>
            <w:r>
              <w:rPr>
                <w:color w:val="000000"/>
                <w:sz w:val="24"/>
              </w:rPr>
              <w:t>2.09</w:t>
            </w:r>
          </w:p>
        </w:tc>
      </w:tr>
      <w:tr>
        <w:tc>
          <w:tcPr>
            <w:vAlign w:val="center"/>
          </w:tcPr>
          <w:p>
            <w:pPr>
              <w:jc w:val="center"/>
            </w:pPr>
            <w:r>
              <w:rPr>
                <w:color w:val="000000"/>
                <w:sz w:val="24"/>
              </w:rPr>
              <w:t>2</w:t>
            </w:r>
          </w:p>
        </w:tc>
        <w:tc>
          <w:tcPr>
            <w:vAlign w:val="center"/>
          </w:tcPr>
          <w:p>
            <w:pPr>
              <w:jc w:val="center"/>
            </w:pPr>
            <w:r>
              <w:rPr>
                <w:color w:val="000000"/>
                <w:sz w:val="24"/>
              </w:rPr>
              <w:t>600519</w:t>
            </w:r>
          </w:p>
        </w:tc>
        <w:tc>
          <w:tcPr>
            <w:vAlign w:val="center"/>
          </w:tcPr>
          <w:p>
            <w:pPr>
              <w:jc w:val="center"/>
            </w:pPr>
            <w:r>
              <w:rPr>
                <w:color w:val="000000"/>
                <w:sz w:val="24"/>
              </w:rPr>
              <w:t>贵州茅台</w:t>
            </w:r>
          </w:p>
        </w:tc>
        <w:tc>
          <w:tcPr>
            <w:vAlign w:val="center"/>
          </w:tcPr>
          <w:p>
            <w:pPr>
              <w:jc w:val="right"/>
            </w:pPr>
            <w:r>
              <w:rPr>
                <w:color w:val="000000"/>
                <w:sz w:val="24"/>
              </w:rPr>
              <w:t>10,000</w:t>
            </w:r>
          </w:p>
        </w:tc>
        <w:tc>
          <w:tcPr>
            <w:vAlign w:val="center"/>
          </w:tcPr>
          <w:p>
            <w:pPr>
              <w:jc w:val="right"/>
            </w:pPr>
            <w:r>
              <w:rPr>
                <w:color w:val="000000"/>
                <w:sz w:val="24"/>
              </w:rPr>
              <w:t>11,830,000.00</w:t>
            </w:r>
          </w:p>
        </w:tc>
        <w:tc>
          <w:tcPr>
            <w:vAlign w:val="center"/>
          </w:tcPr>
          <w:p>
            <w:pPr>
              <w:jc w:val="right"/>
            </w:pPr>
            <w:r>
              <w:rPr>
                <w:color w:val="000000"/>
                <w:sz w:val="24"/>
              </w:rPr>
              <w:t>2.00</w:t>
            </w:r>
          </w:p>
        </w:tc>
      </w:tr>
      <w:tr>
        <w:tc>
          <w:tcPr>
            <w:vAlign w:val="center"/>
          </w:tcPr>
          <w:p>
            <w:pPr>
              <w:jc w:val="center"/>
            </w:pPr>
            <w:r>
              <w:rPr>
                <w:color w:val="000000"/>
                <w:sz w:val="24"/>
              </w:rPr>
              <w:t>3</w:t>
            </w:r>
          </w:p>
        </w:tc>
        <w:tc>
          <w:tcPr>
            <w:vAlign w:val="center"/>
          </w:tcPr>
          <w:p>
            <w:pPr>
              <w:jc w:val="center"/>
            </w:pPr>
            <w:r>
              <w:rPr>
                <w:color w:val="000000"/>
                <w:sz w:val="24"/>
              </w:rPr>
              <w:t>601628</w:t>
            </w:r>
          </w:p>
        </w:tc>
        <w:tc>
          <w:tcPr>
            <w:vAlign w:val="center"/>
          </w:tcPr>
          <w:p>
            <w:pPr>
              <w:jc w:val="center"/>
            </w:pPr>
            <w:r>
              <w:rPr>
                <w:color w:val="000000"/>
                <w:sz w:val="24"/>
              </w:rPr>
              <w:t>中国人寿</w:t>
            </w:r>
          </w:p>
        </w:tc>
        <w:tc>
          <w:tcPr>
            <w:vAlign w:val="center"/>
          </w:tcPr>
          <w:p>
            <w:pPr>
              <w:jc w:val="right"/>
            </w:pPr>
            <w:r>
              <w:rPr>
                <w:color w:val="000000"/>
                <w:sz w:val="24"/>
              </w:rPr>
              <w:t>295,000</w:t>
            </w:r>
          </w:p>
        </w:tc>
        <w:tc>
          <w:tcPr>
            <w:vAlign w:val="center"/>
          </w:tcPr>
          <w:p>
            <w:pPr>
              <w:jc w:val="right"/>
            </w:pPr>
            <w:r>
              <w:rPr>
                <w:color w:val="000000"/>
                <w:sz w:val="24"/>
              </w:rPr>
              <w:t>10,286,650.00</w:t>
            </w:r>
          </w:p>
        </w:tc>
        <w:tc>
          <w:tcPr>
            <w:vAlign w:val="center"/>
          </w:tcPr>
          <w:p>
            <w:pPr>
              <w:jc w:val="right"/>
            </w:pPr>
            <w:r>
              <w:rPr>
                <w:color w:val="000000"/>
                <w:sz w:val="24"/>
              </w:rPr>
              <w:t>1.74</w:t>
            </w:r>
          </w:p>
        </w:tc>
      </w:tr>
      <w:tr>
        <w:tc>
          <w:tcPr>
            <w:vAlign w:val="center"/>
          </w:tcPr>
          <w:p>
            <w:pPr>
              <w:jc w:val="center"/>
            </w:pPr>
            <w:r>
              <w:rPr>
                <w:color w:val="000000"/>
                <w:sz w:val="24"/>
              </w:rPr>
              <w:t>4</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472,900</w:t>
            </w:r>
          </w:p>
        </w:tc>
        <w:tc>
          <w:tcPr>
            <w:vAlign w:val="center"/>
          </w:tcPr>
          <w:p>
            <w:pPr>
              <w:jc w:val="right"/>
            </w:pPr>
            <w:r>
              <w:rPr>
                <w:color w:val="000000"/>
                <w:sz w:val="24"/>
              </w:rPr>
              <w:t>7,651,522.00</w:t>
            </w:r>
          </w:p>
        </w:tc>
        <w:tc>
          <w:tcPr>
            <w:vAlign w:val="center"/>
          </w:tcPr>
          <w:p>
            <w:pPr>
              <w:jc w:val="right"/>
            </w:pPr>
            <w:r>
              <w:rPr>
                <w:color w:val="000000"/>
                <w:sz w:val="24"/>
              </w:rPr>
              <w:t>1.29</w:t>
            </w:r>
          </w:p>
        </w:tc>
      </w:tr>
      <w:tr>
        <w:tc>
          <w:tcPr>
            <w:vAlign w:val="center"/>
          </w:tcPr>
          <w:p>
            <w:pPr>
              <w:jc w:val="center"/>
            </w:pPr>
            <w:r>
              <w:rPr>
                <w:color w:val="000000"/>
                <w:sz w:val="24"/>
              </w:rPr>
              <w:t>5</w:t>
            </w:r>
          </w:p>
        </w:tc>
        <w:tc>
          <w:tcPr>
            <w:vAlign w:val="center"/>
          </w:tcPr>
          <w:p>
            <w:pPr>
              <w:jc w:val="center"/>
            </w:pPr>
            <w:r>
              <w:rPr>
                <w:color w:val="000000"/>
                <w:sz w:val="24"/>
              </w:rPr>
              <w:t>601288</w:t>
            </w:r>
          </w:p>
        </w:tc>
        <w:tc>
          <w:tcPr>
            <w:vAlign w:val="center"/>
          </w:tcPr>
          <w:p>
            <w:pPr>
              <w:jc w:val="center"/>
            </w:pPr>
            <w:r>
              <w:rPr>
                <w:color w:val="000000"/>
                <w:sz w:val="24"/>
              </w:rPr>
              <w:t>农业银行</w:t>
            </w:r>
          </w:p>
        </w:tc>
        <w:tc>
          <w:tcPr>
            <w:vAlign w:val="center"/>
          </w:tcPr>
          <w:p>
            <w:pPr>
              <w:jc w:val="right"/>
            </w:pPr>
            <w:r>
              <w:rPr>
                <w:color w:val="000000"/>
                <w:sz w:val="24"/>
              </w:rPr>
              <w:t>2,000,000</w:t>
            </w:r>
          </w:p>
        </w:tc>
        <w:tc>
          <w:tcPr>
            <w:vAlign w:val="center"/>
          </w:tcPr>
          <w:p>
            <w:pPr>
              <w:jc w:val="right"/>
            </w:pPr>
            <w:r>
              <w:rPr>
                <w:color w:val="000000"/>
                <w:sz w:val="24"/>
              </w:rPr>
              <w:t>7,380,000.00</w:t>
            </w:r>
          </w:p>
        </w:tc>
        <w:tc>
          <w:tcPr>
            <w:vAlign w:val="center"/>
          </w:tcPr>
          <w:p>
            <w:pPr>
              <w:jc w:val="right"/>
            </w:pPr>
            <w:r>
              <w:rPr>
                <w:color w:val="000000"/>
                <w:sz w:val="24"/>
              </w:rPr>
              <w:t>1.25</w:t>
            </w:r>
          </w:p>
        </w:tc>
      </w:tr>
      <w:tr>
        <w:tc>
          <w:tcPr>
            <w:vAlign w:val="center"/>
          </w:tcPr>
          <w:p>
            <w:pPr>
              <w:jc w:val="center"/>
            </w:pPr>
            <w:r>
              <w:rPr>
                <w:color w:val="000000"/>
                <w:sz w:val="24"/>
              </w:rPr>
              <w:t>6</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200,000</w:t>
            </w:r>
          </w:p>
        </w:tc>
        <w:tc>
          <w:tcPr>
            <w:vAlign w:val="center"/>
          </w:tcPr>
          <w:p>
            <w:pPr>
              <w:jc w:val="right"/>
            </w:pPr>
            <w:r>
              <w:rPr>
                <w:color w:val="000000"/>
                <w:sz w:val="24"/>
              </w:rPr>
              <w:t>6,188,000.00</w:t>
            </w:r>
          </w:p>
        </w:tc>
        <w:tc>
          <w:tcPr>
            <w:vAlign w:val="center"/>
          </w:tcPr>
          <w:p>
            <w:pPr>
              <w:jc w:val="right"/>
            </w:pPr>
            <w:r>
              <w:rPr>
                <w:color w:val="000000"/>
                <w:sz w:val="24"/>
              </w:rPr>
              <w:t>1.04</w:t>
            </w:r>
          </w:p>
        </w:tc>
      </w:tr>
      <w:tr>
        <w:tc>
          <w:tcPr>
            <w:vAlign w:val="center"/>
          </w:tcPr>
          <w:p>
            <w:pPr>
              <w:jc w:val="center"/>
            </w:pPr>
            <w:r>
              <w:rPr>
                <w:color w:val="000000"/>
                <w:sz w:val="24"/>
              </w:rPr>
              <w:t>7</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199,963</w:t>
            </w:r>
          </w:p>
        </w:tc>
        <w:tc>
          <w:tcPr>
            <w:vAlign w:val="center"/>
          </w:tcPr>
          <w:p>
            <w:pPr>
              <w:jc w:val="right"/>
            </w:pPr>
            <w:r>
              <w:rPr>
                <w:color w:val="000000"/>
                <w:sz w:val="24"/>
              </w:rPr>
              <w:t>5,261,026.53</w:t>
            </w:r>
          </w:p>
        </w:tc>
        <w:tc>
          <w:tcPr>
            <w:vAlign w:val="center"/>
          </w:tcPr>
          <w:p>
            <w:pPr>
              <w:jc w:val="right"/>
            </w:pPr>
            <w:r>
              <w:rPr>
                <w:color w:val="000000"/>
                <w:sz w:val="24"/>
              </w:rPr>
              <w:t>0.89</w:t>
            </w:r>
          </w:p>
        </w:tc>
      </w:tr>
      <w:tr>
        <w:tc>
          <w:tcPr>
            <w:vAlign w:val="center"/>
          </w:tcPr>
          <w:p>
            <w:pPr>
              <w:jc w:val="center"/>
            </w:pPr>
            <w:r>
              <w:rPr>
                <w:color w:val="000000"/>
                <w:sz w:val="24"/>
              </w:rPr>
              <w:t>8</w:t>
            </w:r>
          </w:p>
        </w:tc>
        <w:tc>
          <w:tcPr>
            <w:vAlign w:val="center"/>
          </w:tcPr>
          <w:p>
            <w:pPr>
              <w:jc w:val="center"/>
            </w:pPr>
            <w:r>
              <w:rPr>
                <w:color w:val="000000"/>
                <w:sz w:val="24"/>
              </w:rPr>
              <w:t>600690</w:t>
            </w:r>
          </w:p>
        </w:tc>
        <w:tc>
          <w:tcPr>
            <w:vAlign w:val="center"/>
          </w:tcPr>
          <w:p>
            <w:pPr>
              <w:jc w:val="center"/>
            </w:pPr>
            <w:r>
              <w:rPr>
                <w:color w:val="000000"/>
                <w:sz w:val="24"/>
              </w:rPr>
              <w:t>海尔智家</w:t>
            </w:r>
          </w:p>
        </w:tc>
        <w:tc>
          <w:tcPr>
            <w:vAlign w:val="center"/>
          </w:tcPr>
          <w:p>
            <w:pPr>
              <w:jc w:val="right"/>
            </w:pPr>
            <w:r>
              <w:rPr>
                <w:color w:val="000000"/>
                <w:sz w:val="24"/>
              </w:rPr>
              <w:t>200,000</w:t>
            </w:r>
          </w:p>
        </w:tc>
        <w:tc>
          <w:tcPr>
            <w:vAlign w:val="center"/>
          </w:tcPr>
          <w:p>
            <w:pPr>
              <w:jc w:val="right"/>
            </w:pPr>
            <w:r>
              <w:rPr>
                <w:color w:val="000000"/>
                <w:sz w:val="24"/>
              </w:rPr>
              <w:t>3,900,000.00</w:t>
            </w:r>
          </w:p>
        </w:tc>
        <w:tc>
          <w:tcPr>
            <w:vAlign w:val="center"/>
          </w:tcPr>
          <w:p>
            <w:pPr>
              <w:jc w:val="right"/>
            </w:pPr>
            <w:r>
              <w:rPr>
                <w:color w:val="000000"/>
                <w:sz w:val="24"/>
              </w:rPr>
              <w:t>0.66</w:t>
            </w:r>
          </w:p>
        </w:tc>
      </w:tr>
      <w:tr>
        <w:tc>
          <w:tcPr>
            <w:vAlign w:val="center"/>
          </w:tcPr>
          <w:p>
            <w:pPr>
              <w:jc w:val="center"/>
            </w:pPr>
            <w:r>
              <w:rPr>
                <w:color w:val="000000"/>
                <w:sz w:val="24"/>
              </w:rPr>
              <w:t>9</w:t>
            </w:r>
          </w:p>
        </w:tc>
        <w:tc>
          <w:tcPr>
            <w:vAlign w:val="center"/>
          </w:tcPr>
          <w:p>
            <w:pPr>
              <w:jc w:val="center"/>
            </w:pPr>
            <w:r>
              <w:rPr>
                <w:color w:val="000000"/>
                <w:sz w:val="24"/>
              </w:rPr>
              <w:t>600009</w:t>
            </w:r>
          </w:p>
        </w:tc>
        <w:tc>
          <w:tcPr>
            <w:vAlign w:val="center"/>
          </w:tcPr>
          <w:p>
            <w:pPr>
              <w:jc w:val="center"/>
            </w:pPr>
            <w:r>
              <w:rPr>
                <w:color w:val="000000"/>
                <w:sz w:val="24"/>
              </w:rPr>
              <w:t>上海机场</w:t>
            </w:r>
          </w:p>
        </w:tc>
        <w:tc>
          <w:tcPr>
            <w:vAlign w:val="center"/>
          </w:tcPr>
          <w:p>
            <w:pPr>
              <w:jc w:val="right"/>
            </w:pPr>
            <w:r>
              <w:rPr>
                <w:color w:val="000000"/>
                <w:sz w:val="24"/>
              </w:rPr>
              <w:t>46,449</w:t>
            </w:r>
          </w:p>
        </w:tc>
        <w:tc>
          <w:tcPr>
            <w:vAlign w:val="center"/>
          </w:tcPr>
          <w:p>
            <w:pPr>
              <w:jc w:val="right"/>
            </w:pPr>
            <w:r>
              <w:rPr>
                <w:color w:val="000000"/>
                <w:sz w:val="24"/>
              </w:rPr>
              <w:t>3,657,858.75</w:t>
            </w:r>
          </w:p>
        </w:tc>
        <w:tc>
          <w:tcPr>
            <w:vAlign w:val="center"/>
          </w:tcPr>
          <w:p>
            <w:pPr>
              <w:jc w:val="right"/>
            </w:pPr>
            <w:r>
              <w:rPr>
                <w:color w:val="000000"/>
                <w:sz w:val="24"/>
              </w:rPr>
              <w:t>0.62</w:t>
            </w:r>
          </w:p>
        </w:tc>
      </w:tr>
      <w:tr>
        <w:tc>
          <w:tcPr>
            <w:vAlign w:val="center"/>
          </w:tcPr>
          <w:p>
            <w:pPr>
              <w:jc w:val="center"/>
            </w:pPr>
            <w:r>
              <w:rPr>
                <w:color w:val="000000"/>
                <w:sz w:val="24"/>
              </w:rPr>
              <w:t>10</w:t>
            </w:r>
          </w:p>
        </w:tc>
        <w:tc>
          <w:tcPr>
            <w:vAlign w:val="center"/>
          </w:tcPr>
          <w:p>
            <w:pPr>
              <w:jc w:val="center"/>
            </w:pPr>
            <w:r>
              <w:rPr>
                <w:color w:val="000000"/>
                <w:sz w:val="24"/>
              </w:rPr>
              <w:t>000538</w:t>
            </w:r>
          </w:p>
        </w:tc>
        <w:tc>
          <w:tcPr>
            <w:vAlign w:val="center"/>
          </w:tcPr>
          <w:p>
            <w:pPr>
              <w:jc w:val="center"/>
            </w:pPr>
            <w:r>
              <w:rPr>
                <w:color w:val="000000"/>
                <w:sz w:val="24"/>
              </w:rPr>
              <w:t>云南白药</w:t>
            </w:r>
          </w:p>
        </w:tc>
        <w:tc>
          <w:tcPr>
            <w:vAlign w:val="center"/>
          </w:tcPr>
          <w:p>
            <w:pPr>
              <w:jc w:val="right"/>
            </w:pPr>
            <w:r>
              <w:rPr>
                <w:color w:val="000000"/>
                <w:sz w:val="24"/>
              </w:rPr>
              <w:t>39,928</w:t>
            </w:r>
          </w:p>
        </w:tc>
        <w:tc>
          <w:tcPr>
            <w:vAlign w:val="center"/>
          </w:tcPr>
          <w:p>
            <w:pPr>
              <w:jc w:val="right"/>
            </w:pPr>
            <w:r>
              <w:rPr>
                <w:color w:val="000000"/>
                <w:sz w:val="24"/>
              </w:rPr>
              <w:t>3,570,761.04</w:t>
            </w:r>
          </w:p>
        </w:tc>
        <w:tc>
          <w:tcPr>
            <w:vAlign w:val="center"/>
          </w:tcPr>
          <w:p>
            <w:pPr>
              <w:jc w:val="right"/>
            </w:pPr>
            <w:r>
              <w:rPr>
                <w:color w:val="000000"/>
                <w:sz w:val="24"/>
              </w:rPr>
              <w:t>0.60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33,239,000.00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5.61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33,239,000.00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5.61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242,250,000.00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40.87</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30,033,000.00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5.07</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203,172,000.00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34.28</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2,536,747.60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0.43</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511,230,747.60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86.25</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011902521</w:t>
            </w:r>
          </w:p>
        </w:tc>
        <w:tc>
          <w:tcPr>
            <w:vAlign w:val="center"/>
          </w:tcPr>
          <w:p>
            <w:pPr>
              <w:jc w:val="center"/>
            </w:pPr>
            <w:r>
              <w:rPr>
                <w:color w:val="000000"/>
                <w:sz w:val="24"/>
              </w:rPr>
              <w:t>19鄂联投SCP003</w:t>
            </w:r>
          </w:p>
        </w:tc>
        <w:tc>
          <w:tcPr>
            <w:vAlign w:val="center"/>
          </w:tcPr>
          <w:p>
            <w:pPr>
              <w:jc w:val="right"/>
            </w:pPr>
            <w:r>
              <w:rPr>
                <w:color w:val="000000"/>
                <w:sz w:val="24"/>
              </w:rPr>
              <w:t>300,000</w:t>
            </w:r>
          </w:p>
        </w:tc>
        <w:tc>
          <w:tcPr>
            <w:vAlign w:val="center"/>
          </w:tcPr>
          <w:p>
            <w:pPr>
              <w:jc w:val="right"/>
            </w:pPr>
            <w:r>
              <w:rPr>
                <w:color w:val="000000"/>
                <w:sz w:val="24"/>
              </w:rPr>
              <w:t>30,033,000.00</w:t>
            </w:r>
          </w:p>
        </w:tc>
        <w:tc>
          <w:tcPr>
            <w:vAlign w:val="center"/>
          </w:tcPr>
          <w:p>
            <w:pPr>
              <w:jc w:val="right"/>
            </w:pPr>
            <w:r>
              <w:rPr>
                <w:color w:val="000000"/>
                <w:sz w:val="24"/>
              </w:rPr>
              <w:t>5.07</w:t>
            </w:r>
          </w:p>
        </w:tc>
      </w:tr>
      <w:tr>
        <w:tc>
          <w:tcPr>
            <w:vAlign w:val="center"/>
          </w:tcPr>
          <w:p>
            <w:pPr>
              <w:jc w:val="center"/>
            </w:pPr>
            <w:r>
              <w:rPr>
                <w:color w:val="000000"/>
                <w:sz w:val="24"/>
              </w:rPr>
              <w:t>2</w:t>
            </w:r>
          </w:p>
        </w:tc>
        <w:tc>
          <w:tcPr>
            <w:vAlign w:val="center"/>
          </w:tcPr>
          <w:p>
            <w:pPr>
              <w:jc w:val="center"/>
            </w:pPr>
            <w:r>
              <w:rPr>
                <w:color w:val="000000"/>
                <w:sz w:val="24"/>
              </w:rPr>
              <w:t>018007</w:t>
            </w:r>
          </w:p>
        </w:tc>
        <w:tc>
          <w:tcPr>
            <w:vAlign w:val="center"/>
          </w:tcPr>
          <w:p>
            <w:pPr>
              <w:jc w:val="center"/>
            </w:pPr>
            <w:r>
              <w:rPr>
                <w:color w:val="000000"/>
                <w:sz w:val="24"/>
              </w:rPr>
              <w:t>国开1801</w:t>
            </w:r>
          </w:p>
        </w:tc>
        <w:tc>
          <w:tcPr>
            <w:vAlign w:val="center"/>
          </w:tcPr>
          <w:p>
            <w:pPr>
              <w:jc w:val="right"/>
            </w:pPr>
            <w:r>
              <w:rPr>
                <w:color w:val="000000"/>
                <w:sz w:val="24"/>
              </w:rPr>
              <w:t>280,000</w:t>
            </w:r>
          </w:p>
        </w:tc>
        <w:tc>
          <w:tcPr>
            <w:vAlign w:val="center"/>
          </w:tcPr>
          <w:p>
            <w:pPr>
              <w:jc w:val="right"/>
            </w:pPr>
            <w:r>
              <w:rPr>
                <w:color w:val="000000"/>
                <w:sz w:val="24"/>
              </w:rPr>
              <w:t>28,210,000.00</w:t>
            </w:r>
          </w:p>
        </w:tc>
        <w:tc>
          <w:tcPr>
            <w:vAlign w:val="center"/>
          </w:tcPr>
          <w:p>
            <w:pPr>
              <w:jc w:val="right"/>
            </w:pPr>
            <w:r>
              <w:rPr>
                <w:color w:val="000000"/>
                <w:sz w:val="24"/>
              </w:rPr>
              <w:t>4.76</w:t>
            </w:r>
          </w:p>
        </w:tc>
      </w:tr>
      <w:tr>
        <w:tc>
          <w:tcPr>
            <w:vAlign w:val="center"/>
          </w:tcPr>
          <w:p>
            <w:pPr>
              <w:jc w:val="center"/>
            </w:pPr>
            <w:r>
              <w:rPr>
                <w:color w:val="000000"/>
                <w:sz w:val="24"/>
              </w:rPr>
              <w:t>3</w:t>
            </w:r>
          </w:p>
        </w:tc>
        <w:tc>
          <w:tcPr>
            <w:vAlign w:val="center"/>
          </w:tcPr>
          <w:p>
            <w:pPr>
              <w:jc w:val="center"/>
            </w:pPr>
            <w:r>
              <w:rPr>
                <w:color w:val="000000"/>
                <w:sz w:val="24"/>
              </w:rPr>
              <w:t>101800696</w:t>
            </w:r>
          </w:p>
        </w:tc>
        <w:tc>
          <w:tcPr>
            <w:vAlign w:val="center"/>
          </w:tcPr>
          <w:p>
            <w:pPr>
              <w:jc w:val="center"/>
            </w:pPr>
            <w:r>
              <w:rPr>
                <w:color w:val="000000"/>
                <w:sz w:val="24"/>
              </w:rPr>
              <w:t>18闽投MTN002</w:t>
            </w:r>
          </w:p>
        </w:tc>
        <w:tc>
          <w:tcPr>
            <w:vAlign w:val="center"/>
          </w:tcPr>
          <w:p>
            <w:pPr>
              <w:jc w:val="right"/>
            </w:pPr>
            <w:r>
              <w:rPr>
                <w:color w:val="000000"/>
                <w:sz w:val="24"/>
              </w:rPr>
              <w:t>200,000</w:t>
            </w:r>
          </w:p>
        </w:tc>
        <w:tc>
          <w:tcPr>
            <w:vAlign w:val="center"/>
          </w:tcPr>
          <w:p>
            <w:pPr>
              <w:jc w:val="right"/>
            </w:pPr>
            <w:r>
              <w:rPr>
                <w:color w:val="000000"/>
                <w:sz w:val="24"/>
              </w:rPr>
              <w:t>20,564,000.00</w:t>
            </w:r>
          </w:p>
        </w:tc>
        <w:tc>
          <w:tcPr>
            <w:vAlign w:val="center"/>
          </w:tcPr>
          <w:p>
            <w:pPr>
              <w:jc w:val="right"/>
            </w:pPr>
            <w:r>
              <w:rPr>
                <w:color w:val="000000"/>
                <w:sz w:val="24"/>
              </w:rPr>
              <w:t>3.47</w:t>
            </w:r>
          </w:p>
        </w:tc>
      </w:tr>
      <w:tr>
        <w:tc>
          <w:tcPr>
            <w:vAlign w:val="center"/>
          </w:tcPr>
          <w:p>
            <w:pPr>
              <w:jc w:val="center"/>
            </w:pPr>
            <w:r>
              <w:rPr>
                <w:color w:val="000000"/>
                <w:sz w:val="24"/>
              </w:rPr>
              <w:t>4</w:t>
            </w:r>
          </w:p>
        </w:tc>
        <w:tc>
          <w:tcPr>
            <w:vAlign w:val="center"/>
          </w:tcPr>
          <w:p>
            <w:pPr>
              <w:jc w:val="center"/>
            </w:pPr>
            <w:r>
              <w:rPr>
                <w:color w:val="000000"/>
                <w:sz w:val="24"/>
              </w:rPr>
              <w:t>143647</w:t>
            </w:r>
          </w:p>
        </w:tc>
        <w:tc>
          <w:tcPr>
            <w:vAlign w:val="center"/>
          </w:tcPr>
          <w:p>
            <w:pPr>
              <w:jc w:val="center"/>
            </w:pPr>
            <w:r>
              <w:rPr>
                <w:color w:val="000000"/>
                <w:sz w:val="24"/>
              </w:rPr>
              <w:t>18电投03</w:t>
            </w:r>
          </w:p>
        </w:tc>
        <w:tc>
          <w:tcPr>
            <w:vAlign w:val="center"/>
          </w:tcPr>
          <w:p>
            <w:pPr>
              <w:jc w:val="right"/>
            </w:pPr>
            <w:r>
              <w:rPr>
                <w:color w:val="000000"/>
                <w:sz w:val="24"/>
              </w:rPr>
              <w:t>200,000</w:t>
            </w:r>
          </w:p>
        </w:tc>
        <w:tc>
          <w:tcPr>
            <w:vAlign w:val="center"/>
          </w:tcPr>
          <w:p>
            <w:pPr>
              <w:jc w:val="right"/>
            </w:pPr>
            <w:r>
              <w:rPr>
                <w:color w:val="000000"/>
                <w:sz w:val="24"/>
              </w:rPr>
              <w:t>20,400,000.00</w:t>
            </w:r>
          </w:p>
        </w:tc>
        <w:tc>
          <w:tcPr>
            <w:vAlign w:val="center"/>
          </w:tcPr>
          <w:p>
            <w:pPr>
              <w:jc w:val="right"/>
            </w:pPr>
            <w:r>
              <w:rPr>
                <w:color w:val="000000"/>
                <w:sz w:val="24"/>
              </w:rPr>
              <w:t>3.44</w:t>
            </w:r>
          </w:p>
        </w:tc>
      </w:tr>
      <w:tr>
        <w:tc>
          <w:tcPr>
            <w:vAlign w:val="center"/>
          </w:tcPr>
          <w:p>
            <w:pPr>
              <w:jc w:val="center"/>
            </w:pPr>
            <w:r>
              <w:rPr>
                <w:color w:val="000000"/>
                <w:sz w:val="24"/>
              </w:rPr>
              <w:t>5</w:t>
            </w:r>
          </w:p>
        </w:tc>
        <w:tc>
          <w:tcPr>
            <w:vAlign w:val="center"/>
          </w:tcPr>
          <w:p>
            <w:pPr>
              <w:jc w:val="center"/>
            </w:pPr>
            <w:r>
              <w:rPr>
                <w:color w:val="000000"/>
                <w:sz w:val="24"/>
              </w:rPr>
              <w:t>143662</w:t>
            </w:r>
          </w:p>
        </w:tc>
        <w:tc>
          <w:tcPr>
            <w:vAlign w:val="center"/>
          </w:tcPr>
          <w:p>
            <w:pPr>
              <w:jc w:val="center"/>
            </w:pPr>
            <w:r>
              <w:rPr>
                <w:color w:val="000000"/>
                <w:sz w:val="24"/>
              </w:rPr>
              <w:t>18国电02</w:t>
            </w:r>
          </w:p>
        </w:tc>
        <w:tc>
          <w:tcPr>
            <w:vAlign w:val="center"/>
          </w:tcPr>
          <w:p>
            <w:pPr>
              <w:jc w:val="right"/>
            </w:pPr>
            <w:r>
              <w:rPr>
                <w:color w:val="000000"/>
                <w:sz w:val="24"/>
              </w:rPr>
              <w:t>200,000</w:t>
            </w:r>
          </w:p>
        </w:tc>
        <w:tc>
          <w:tcPr>
            <w:vAlign w:val="center"/>
          </w:tcPr>
          <w:p>
            <w:pPr>
              <w:jc w:val="right"/>
            </w:pPr>
            <w:r>
              <w:rPr>
                <w:color w:val="000000"/>
                <w:sz w:val="24"/>
              </w:rPr>
              <w:t>20,398,000.00</w:t>
            </w:r>
          </w:p>
        </w:tc>
        <w:tc>
          <w:tcPr>
            <w:vAlign w:val="center"/>
          </w:tcPr>
          <w:p>
            <w:pPr>
              <w:jc w:val="right"/>
            </w:pPr>
            <w:r>
              <w:rPr>
                <w:color w:val="000000"/>
                <w:sz w:val="24"/>
              </w:rPr>
              <w:t>3.44</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69,987.39</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10,088,611.10</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3,334,119.95</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13,492,718.44</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本基金本报告期末前十名股票中不存在流通受限情况。</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交银新回报灵活配置混合A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交银新回报灵活配置混合C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395,235,116.48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11,963,711.80</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53,391,234.02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2,099,536.78</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22,447,920.51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1,064,400.61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426,178,429.99</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12,998,847.97</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2019/10/1-2019/12/31</w:t>
            </w:r>
          </w:p>
        </w:tc>
        <w:tc>
          <w:tcPr>
            <w:vAlign w:val="center"/>
          </w:tcPr>
          <w:p>
            <w:pPr>
              <w:jc w:val="center"/>
            </w:pPr>
            <w:r>
              <w:rPr>
                <w:rFonts w:ascii="宋体" w:hAnsi="宋体" w:hint="eastAsia"/>
                <w:color w:val="000000"/>
                <w:kern w:val="0"/>
                <w:szCs w:val="21"/>
              </w:rPr>
              <w:t>102,475,661.83</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102,475,661.83</w:t>
            </w:r>
          </w:p>
        </w:tc>
        <w:tc>
          <w:tcPr>
            <w:vAlign w:val="center"/>
          </w:tcPr>
          <w:p>
            <w:pPr>
              <w:jc w:val="center"/>
            </w:pPr>
            <w:r>
              <w:rPr>
                <w:rFonts w:ascii="宋体" w:hAnsi="宋体" w:hint="eastAsia"/>
                <w:color w:val="000000"/>
                <w:kern w:val="0"/>
                <w:szCs w:val="21"/>
              </w:rPr>
              <w:t>23.33%</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2019/10/1-2019/12/31</w:t>
            </w:r>
          </w:p>
        </w:tc>
        <w:tc>
          <w:tcPr>
            <w:vAlign w:val="center"/>
          </w:tcPr>
          <w:p>
            <w:pPr>
              <w:jc w:val="center"/>
            </w:pPr>
            <w:r>
              <w:rPr>
                <w:rFonts w:ascii="宋体" w:hAnsi="宋体" w:hint="eastAsia"/>
                <w:color w:val="000000"/>
                <w:kern w:val="0"/>
                <w:szCs w:val="21"/>
              </w:rPr>
              <w:t>144,229,807.69</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144,229,807.69</w:t>
            </w:r>
          </w:p>
        </w:tc>
        <w:tc>
          <w:tcPr>
            <w:vAlign w:val="center"/>
          </w:tcPr>
          <w:p>
            <w:pPr>
              <w:jc w:val="center"/>
            </w:pPr>
            <w:r>
              <w:rPr>
                <w:rFonts w:ascii="宋体" w:hAnsi="宋体" w:hint="eastAsia"/>
                <w:color w:val="000000"/>
                <w:kern w:val="0"/>
                <w:szCs w:val="21"/>
              </w:rPr>
              <w:t>32.84%</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8.2 影响投资者决策的其他重要信息</w:t>
      </w:r>
    </w:p>
    <w:p w:rsidP="00ED0E09" w:rsidR="00ED0E09" w:rsidRDefault="00ED0E09">
      <w:pPr>
        <w:spacing w:line="360" w:lineRule="auto"/>
        <w:ind w:firstLine="420" w:firstLineChars="20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7C14DF" w:rsidR="00BB1033" w:rsidRDefault="00BB1033" w:rsidRPr="007F52FA">
      <w:pPr>
        <w:spacing w:before="29" w:line="288" w:lineRule="auto"/>
        <w:ind w:firstLine="480" w:firstLineChars="200"/>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1、中国证监会准予交银施罗德新回报灵活配置混合型证券投资基金募集注册的文件；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2、《交银施罗德新回报灵活配置混合型证券投资基金基金合同》；</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3、《交银施罗德新回报灵活配置混合型证券投资基金招募说明书》；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4、《交银施罗德新回报灵活配置混合型证券投资基金托管协议》；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5、基金管理人业务资格批件、营业执照；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6、基金托管人业务资格批件、营业执照；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7、关于申请募集注册交银施罗德新回报灵活配置混合型证券投资基金的法律意见书；</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8、报告期内交银施罗德新回报灵活配置混合型证券投资基金在指定报刊上各项公告的原稿。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963" w:rsidRDefault="006A0963">
      <w:r>
        <w:separator/>
      </w:r>
    </w:p>
  </w:endnote>
  <w:endnote w:type="continuationSeparator" w:id="0">
    <w:p w:rsidR="006A0963" w:rsidRDefault="006A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910F55">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910F55">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A0963" w:rsidRDefault="006A0963">
      <w:r>
        <w:separator/>
      </w:r>
    </w:p>
  </w:footnote>
  <w:footnote w:id="0" w:type="continuationSeparator">
    <w:p w:rsidR="006A0963" w:rsidRDefault="006A0963">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交银施罗德新回报灵活配置混合型证券投资基金2019年第4季度报告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44E0A-9053-45FF-AFA1-C8F6CF3B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251</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2019-10-16T02:01:00Z</dcterms:modified>
  <cp:revision>403</cp:revision>
</cp:coreProperties>
</file>