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交银施罗德新回报灵活配置混合型证券投资基金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2019年第4季度报告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2019年12月31日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二〇二〇年一月二十一日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基金托管人中信银行股份有限公司根据本基金合同规定，于2020年1月20日复核了本报告中的财务指标、净值表现和投资组合报告等内容，保证复核内容不存在虚假记载、误导性陈述或者重大遗漏。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本报告期自2019年10月1日起至12月31日止。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交银新回报灵活配置混合</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519752</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2015年5月15日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439,177,277.96</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50%×沪深300指数收益率+50%×中债综合全价指数收益率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交银新回报灵活配置混合A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交银新回报灵活配置混合C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519752</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519760</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426,178,429.99</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12,998,847.97</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(2019年10月1日-2019年12月31日)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交银新回报灵活配置混合A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交银新回报灵活配置混合C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7,442,385.85</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773,642.99</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15,045,627.13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1,576,122.43</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0.0371</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0.1265</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536,133,957.09</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56,628,102.31</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1.258</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4.356</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注：1、上述基金A类业绩指标不包括持有人认购或交易基金的各项费用，计入费用后的实际收益水平要低于所列数字；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交银新回报灵活配置混合A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3.03%</w:t>
            </w:r>
          </w:p>
        </w:tc>
        <w:tc>
          <w:tcPr>
            <w:vAlign w:val="center"/>
          </w:tcPr>
          <w:p>
            <w:pPr>
              <w:jc w:val="center"/>
            </w:pPr>
            <w:r>
              <w:rPr>
                <w:color w:val="000000"/>
                <w:sz w:val="24"/>
              </w:rPr>
              <w:t>0.13%</w:t>
            </w:r>
          </w:p>
        </w:tc>
        <w:tc>
          <w:tcPr>
            <w:vAlign w:val="center"/>
          </w:tcPr>
          <w:p>
            <w:pPr>
              <w:jc w:val="center"/>
            </w:pPr>
            <w:r>
              <w:rPr>
                <w:color w:val="000000"/>
                <w:sz w:val="24"/>
              </w:rPr>
              <w:t>3.99%</w:t>
            </w:r>
          </w:p>
        </w:tc>
        <w:tc>
          <w:tcPr>
            <w:vAlign w:val="center"/>
          </w:tcPr>
          <w:p>
            <w:pPr>
              <w:jc w:val="center"/>
            </w:pPr>
            <w:r>
              <w:rPr>
                <w:color w:val="000000"/>
                <w:sz w:val="24"/>
              </w:rPr>
              <w:t>0.37%</w:t>
            </w:r>
          </w:p>
        </w:tc>
        <w:tc>
          <w:tcPr>
            <w:vAlign w:val="center"/>
          </w:tcPr>
          <w:p>
            <w:pPr>
              <w:jc w:val="center"/>
            </w:pPr>
            <w:r>
              <w:rPr>
                <w:color w:val="000000"/>
                <w:sz w:val="24"/>
              </w:rPr>
              <w:t>-0.96%</w:t>
            </w:r>
          </w:p>
        </w:tc>
        <w:tc>
          <w:tcPr>
            <w:vAlign w:val="center"/>
          </w:tcPr>
          <w:p>
            <w:pPr>
              <w:jc w:val="center"/>
            </w:pPr>
            <w:r>
              <w:rPr>
                <w:color w:val="000000"/>
                <w:sz w:val="24"/>
              </w:rPr>
              <w:t>-0.24%</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交银新回报灵活配置混合C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2.98%</w:t>
            </w:r>
          </w:p>
        </w:tc>
        <w:tc>
          <w:tcPr>
            <w:vAlign w:val="center"/>
          </w:tcPr>
          <w:p>
            <w:pPr>
              <w:jc w:val="center"/>
            </w:pPr>
            <w:r>
              <w:rPr>
                <w:color w:val="000000"/>
                <w:sz w:val="24"/>
              </w:rPr>
              <w:t>0.13%</w:t>
            </w:r>
          </w:p>
        </w:tc>
        <w:tc>
          <w:tcPr>
            <w:vAlign w:val="center"/>
          </w:tcPr>
          <w:p>
            <w:pPr>
              <w:jc w:val="center"/>
            </w:pPr>
            <w:r>
              <w:rPr>
                <w:color w:val="000000"/>
                <w:sz w:val="24"/>
              </w:rPr>
              <w:t>3.99%</w:t>
            </w:r>
          </w:p>
        </w:tc>
        <w:tc>
          <w:tcPr>
            <w:vAlign w:val="center"/>
          </w:tcPr>
          <w:p>
            <w:pPr>
              <w:jc w:val="center"/>
            </w:pPr>
            <w:r>
              <w:rPr>
                <w:color w:val="000000"/>
                <w:sz w:val="24"/>
              </w:rPr>
              <w:t>0.37%</w:t>
            </w:r>
          </w:p>
        </w:tc>
        <w:tc>
          <w:tcPr>
            <w:vAlign w:val="center"/>
          </w:tcPr>
          <w:p>
            <w:pPr>
              <w:jc w:val="center"/>
            </w:pPr>
            <w:r>
              <w:rPr>
                <w:color w:val="000000"/>
                <w:sz w:val="24"/>
              </w:rPr>
              <w:t>-1.01%</w:t>
            </w:r>
          </w:p>
        </w:tc>
        <w:tc>
          <w:tcPr>
            <w:vAlign w:val="center"/>
          </w:tcPr>
          <w:p>
            <w:pPr>
              <w:jc w:val="center"/>
            </w:pPr>
            <w:r>
              <w:rPr>
                <w:color w:val="000000"/>
                <w:sz w:val="24"/>
              </w:rPr>
              <w:t>-0.24%</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交银施罗德新回报灵活配置混合型证券投资基金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2015年5月15日</w:t>
      </w:r>
      <w:r w:rsidR="009A045B" w:rsidRPr="007F52FA">
        <w:rPr>
          <w:rFonts w:ascii="Times New Roman" w:hAnsi="Times New Roman"/>
          <w:sz w:val="24"/>
          <w:szCs w:val="24"/>
        </w:rPr>
        <w:t>至</w:t>
      </w:r>
      <w:r w:rsidRPr="007F52FA">
        <w:rPr>
          <w:rFonts w:ascii="Times New Roman" w:hAnsi="Times New Roman"/>
          <w:sz w:val="24"/>
          <w:szCs w:val="24"/>
        </w:rPr>
        <w:t>2019年12月31日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交银新回报灵活配置混合A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注：图示日期为2015年5月15日至2019年12月31日。本基金建仓期为自基金合同生效日起的6个月。截至建仓期结束，本基金各项资产配置比例符合基金合同及招募说明书有关投资比例的约定。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交银新回报灵活配置混合C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注：本基金自2015年11月19日起，开始销售C类份额，投资者提交的申购申请于2015年11月20日被确认并将有效份额登记在册。图示日期为2015年11月20日至2019年12月31日。</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李娜</w:t>
            </w:r>
          </w:p>
        </w:tc>
        <w:tc>
          <w:tcPr>
            <w:vAlign w:val="center"/>
          </w:tcPr>
          <w:p>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vAlign w:val="center"/>
          </w:tcPr>
          <w:p>
            <w:pPr>
              <w:jc w:val="center"/>
            </w:pPr>
            <w:r>
              <w:rPr>
                <w:color w:val="000000"/>
                <w:sz w:val="24"/>
              </w:rPr>
              <w:t>2015-08-04</w:t>
            </w:r>
          </w:p>
        </w:tc>
        <w:tc>
          <w:tcPr>
            <w:vAlign w:val="center"/>
          </w:tcPr>
          <w:p>
            <w:pPr>
              <w:jc w:val="center"/>
            </w:pPr>
            <w:r>
              <w:rPr>
                <w:color w:val="000000"/>
                <w:sz w:val="24"/>
              </w:rPr>
              <w:t>-</w:t>
            </w:r>
          </w:p>
        </w:tc>
        <w:tc>
          <w:tcPr>
            <w:vAlign w:val="center"/>
          </w:tcPr>
          <w:p>
            <w:pPr>
              <w:jc w:val="center"/>
            </w:pPr>
            <w:r>
              <w:rPr>
                <w:color w:val="000000"/>
                <w:sz w:val="24"/>
              </w:rPr>
              <w:t>9年</w:t>
            </w:r>
          </w:p>
        </w:tc>
        <w:tc>
          <w:tcPr>
            <w:vAlign w:val="center"/>
          </w:tcPr>
          <w:p>
            <w:pPr>
              <w:jc w:val="both"/>
            </w:pPr>
            <w:r>
              <w:rPr>
                <w:color w:val="000000"/>
                <w:sz w:val="24"/>
              </w:rPr>
              <w:t>李娜女士，美国宾夕法尼亚大学应用数学与计算科学硕士。历任国泰基金管理有限公司研究员。2012年加入交银施罗德基金管理有限公司，历任债券分析师、基金经理助理。2017年3月2日至2018年4月10日担任交银施罗德瑞安定期开放灵活配置混合型证券投资基金基金经理。2017年2月24日至2018年7月18日担任交银施罗德瑞利定期开放灵活配置混合型证券投资基金的基金经理。2017年3月31日至2018年8月23日担任交银施罗德启通灵活配置混合型证券投资基金的基金经理。2016年12月21日至2018年11月16日担任交银施罗德瑞景定期开放灵活配置混合型证券投资基金的基金经理。2016年2月17日至2018年12月7日担任交银施罗德卓越回报灵活配置混合型证券投资基金的基金经理。2016年9月13日至2019年1月21日担任交银施罗德领先回报灵活配置混合型证券投资基金的基金经理。</w:t>
            </w:r>
          </w:p>
        </w:tc>
      </w:tr>
      <w:tr>
        <w:tc>
          <w:tcPr>
            <w:vAlign w:val="center"/>
          </w:tcPr>
          <w:p>
            <w:pPr>
              <w:jc w:val="center"/>
            </w:pPr>
            <w:r>
              <w:rPr>
                <w:color w:val="000000"/>
                <w:sz w:val="24"/>
              </w:rPr>
              <w:t>凌超</w:t>
            </w:r>
          </w:p>
        </w:tc>
        <w:tc>
          <w:tcPr>
            <w:vAlign w:val="center"/>
          </w:tcPr>
          <w:p>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rPr>
              <w:t>2019-07-20</w:t>
            </w:r>
          </w:p>
        </w:tc>
        <w:tc>
          <w:tcPr>
            <w:vAlign w:val="center"/>
          </w:tcPr>
          <w:p>
            <w:pPr>
              <w:jc w:val="center"/>
            </w:pPr>
            <w:r>
              <w:rPr>
                <w:color w:val="000000"/>
                <w:sz w:val="24"/>
              </w:rPr>
              <w:t>-</w:t>
            </w:r>
          </w:p>
        </w:tc>
        <w:tc>
          <w:tcPr>
            <w:vAlign w:val="center"/>
          </w:tcPr>
          <w:p>
            <w:pPr>
              <w:jc w:val="center"/>
            </w:pPr>
            <w:r>
              <w:rPr>
                <w:color w:val="000000"/>
                <w:sz w:val="24"/>
              </w:rPr>
              <w:t>13年</w:t>
            </w:r>
          </w:p>
        </w:tc>
        <w:tc>
          <w:tcPr>
            <w:vAlign w:val="center"/>
          </w:tcPr>
          <w:p>
            <w:pPr>
              <w:jc w:val="both"/>
            </w:pPr>
            <w:r>
              <w:rPr>
                <w:color w:val="000000"/>
                <w:sz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市场受通胀预期、资金面等因素影响，收益率呈现倒V走势。十月，因通胀上行压力及社融数据较强，市场恐慌资金面收紧，债市持续回调。十一月伊始，央行持续降低政策利率，市场资金面较为宽松，债市收益率不断下行。进入十二月，资金面宽松持续，但受海外市场风险因素阶段缓解以及国内逆周期调控政策上行预期影响，长端债券收益率震荡走平，中短久期债券收益率持续下行。</w:t>
      </w:r>
    </w:p>
    <w:p>
      <w:pPr>
        <w:spacing w:before="29" w:line="288" w:lineRule="auto"/>
        <w:ind w:firstLine="480" w:firstLineChars="200"/>
        <w:rPr>
          <w:color w:val="000000"/>
          <w:sz w:val="24"/>
        </w:rPr>
      </w:pPr>
      <w:r>
        <w:rPr>
          <w:color w:val="000000"/>
          <w:sz w:val="24"/>
        </w:rPr>
        <w:t>四季度，权益市场表现相对强势，科技主线延续强势，地产和基建相关板块也有不错表现。指数层面看，成长优于大盘。从行业看，建筑、电子、家电以及传媒等板块领涨，军工及部分强周期板块表现相对弱势。</w:t>
      </w:r>
    </w:p>
    <w:p>
      <w:pPr>
        <w:spacing w:before="29" w:line="288" w:lineRule="auto"/>
        <w:ind w:firstLine="480" w:firstLineChars="200"/>
        <w:rPr>
          <w:color w:val="000000"/>
          <w:sz w:val="24"/>
        </w:rPr>
      </w:pPr>
      <w:r>
        <w:rPr>
          <w:color w:val="000000"/>
          <w:sz w:val="24"/>
        </w:rPr>
        <w:t>在基金操作中，对于债券部分我们维持中短久期高等级信用债的底仓配置，以获取稳定的票息收益。权益方面，组合秉承稳健收益的原则，以低估值高股息品种为主，并适当增加小仓位科技品种。此外，组合积极参与权益及转债的一级申购，以增厚组合收益。</w:t>
      </w:r>
    </w:p>
    <w:p w:rsidP="007C14DF" w:rsidR="00952A72" w:rsidRDefault="00323F25" w:rsidRPr="007F52FA">
      <w:pPr>
        <w:spacing w:before="29" w:line="288" w:lineRule="auto"/>
        <w:ind w:firstLine="480" w:firstLineChars="200"/>
        <w:rPr>
          <w:color w:val="000000"/>
          <w:sz w:val="24"/>
        </w:rPr>
      </w:pPr>
      <w:r w:rsidRPr="007F52FA">
        <w:rPr>
          <w:color w:val="000000"/>
          <w:sz w:val="24"/>
        </w:rPr>
        <w:t>展望2020年一季度，尽管经济内生企稳动力不强的情况难以扭转，中期经济承压的格局未变，但短期在宏观逆周期调控政策发力，资金面维持中性偏宽的格局下，经济增长阶段存在改善可能。考虑到债券收益率受资金面影响下行较多，因此我们对明年一季度债券市场维持震荡观望的观点，底仓配置中短久期高等级信用债品种，以获取票息收益，并根据市场变化动态调整组合久期。权益方面，我们将继续维持低估值高分红的品种配置，并在行业的选择中，逐步关注周期板块盈利存在改善的行业，同时密切关注电子、软件等领域回调具有较大空间的个股。我们将继续积极参加权益及转债的一级申购，以期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96,185,269.49</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15.40</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96,185,269.49</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15.40</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511,230,747.60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81.84</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511,230,747.60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81.84</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3,794,327.42</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0.61</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13,492,718.44</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2.16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624,703,062.95</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1A5E45" w:rsidR="005F69E7" w:rsidRDefault="001A5E45" w:rsidRPr="005F69E7">
      <w:pPr>
        <w:jc w:val="right"/>
        <w:rPr>
          <w:sz w:val="24"/>
        </w:rPr>
      </w:pPr>
      <w:r w:rsidRPr="001A5E45">
        <w:rPr>
          <w:rFonts w:hint="eastAsia"/>
          <w:sz w:val="24"/>
        </w:rPr>
        <w:t/>
      </w:r>
      <w:r w:rsidRPr="001A5E45">
        <w:rPr>
          <w:rFonts w:hint="eastAsia"/>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113"/>
          <w:right w:type="dxa" w:w="113"/>
        </w:tblCellMar>
        <w:tblLook w:firstColumn="0" w:firstRow="0" w:lastColumn="0" w:lastRow="0" w:noHBand="0" w:noVBand="0" w:val="0000"/>
      </w:tblPr>
      <w:tblGrid>
        <w:gridCol w:w="772"/>
        <w:gridCol w:w="3525"/>
        <w:gridCol w:w="2897"/>
        <w:gridCol w:w="1674"/>
      </w:tblGrid>
      <w:tr w:rsidR="005F458B" w:rsidRPr="007F52FA" w:rsidTr="004D7E11">
        <w:trPr>
          <w:trHeight w:val="390"/>
          <w:jc w:val="center"/>
        </w:trPr>
        <w:tc>
          <w:tcPr>
            <w:tcW w:type="dxa" w:w="772"/>
            <w:tcBorders>
              <w:top w:color="000000" w:space="0" w:sz="4" w:val="single"/>
              <w:left w:color="000000" w:space="0" w:sz="4" w:val="single"/>
              <w:bottom w:color="000000" w:space="0" w:sz="4" w:val="single"/>
              <w:right w:color="000000" w:space="0" w:sz="4" w:val="single"/>
            </w:tcBorders>
            <w:vAlign w:val="center"/>
          </w:tcPr>
          <w:p w:rsidP="007C14DF" w:rsidR="005F458B" w:rsidRDefault="005F458B" w:rsidRPr="007F52FA">
            <w:pPr>
              <w:adjustRightInd w:val="0"/>
              <w:snapToGrid w:val="0"/>
              <w:spacing w:before="29" w:line="288" w:lineRule="auto"/>
              <w:jc w:val="center"/>
              <w:rPr>
                <w:sz w:val="24"/>
              </w:rPr>
            </w:pPr>
            <w:r w:rsidRPr="007F52FA">
              <w:rPr>
                <w:sz w:val="24"/>
              </w:rPr>
              <w:t>代码</w:t>
            </w:r>
            <w:r w:rsidR="00FA0527" w:rsidRPr="007F52FA">
              <w:rPr>
                <w:sz w:val="24"/>
              </w:rPr>
              <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行业类别</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1A5E45" w:rsidRPr="007F52FA">
            <w:pPr>
              <w:adjustRightInd w:val="0"/>
              <w:snapToGrid w:val="0"/>
              <w:spacing w:before="29" w:line="288" w:lineRule="auto"/>
              <w:jc w:val="center"/>
              <w:rPr>
                <w:sz w:val="24"/>
              </w:rPr>
            </w:pPr>
            <w:r>
              <w:rPr>
                <w:sz w:val="24"/>
              </w:rPr>
              <w:t>公允价值</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A</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农、林、牧、渔业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B</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采矿业</w:t>
            </w:r>
          </w:p>
        </w:tc>
        <w:tc>
          <w:tcPr>
            <w:tcW w:type="dxa" w:w="2897"/>
            <w:tcBorders>
              <w:top w:color="000000" w:space="0" w:sz="4" w:val="single"/>
              <w:left w:color="auto" w:space="0" w:sz="4" w:val="single"/>
              <w:bottom w:color="000000" w:space="0" w:sz="4" w:val="single"/>
              <w:right w:color="000000" w:space="0" w:sz="4" w:val="single"/>
            </w:tcBorders>
            <w:vAlign w:val="center"/>
          </w:tcPr>
          <w:p w:rsidP="00DF744A" w:rsidR="005F458B" w:rsidRDefault="005F458B" w:rsidRPr="007F52FA">
            <w:pPr>
              <w:spacing w:before="29" w:line="288" w:lineRule="auto"/>
              <w:jc w:val="right"/>
              <w:rPr>
                <w:sz w:val="24"/>
              </w:rPr>
            </w:pPr>
            <w:r w:rsidRPr="007F52FA">
              <w:rPr>
                <w:sz w:val="24"/>
              </w:rPr>
              <w:t>2,846,270.00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DF744A" w:rsidR="005F458B" w:rsidRDefault="005F458B" w:rsidRPr="007F52FA">
            <w:pPr>
              <w:spacing w:before="29" w:line="288" w:lineRule="auto"/>
              <w:jc w:val="right"/>
              <w:rPr>
                <w:sz w:val="24"/>
              </w:rPr>
            </w:pPr>
            <w:r w:rsidRPr="007F52FA">
              <w:rPr>
                <w:sz w:val="24"/>
              </w:rPr>
              <w:t>0.48</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C</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制造业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35,329,050.65</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5.96</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D</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电力、热力、燃气及水生产和供应业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E</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建筑业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F</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批发和零售业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3,037,866.00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
            </w:r>
            <w:r w:rsidRPr="007F52FA">
              <w:rPr>
                <w:sz w:val="24"/>
              </w:rPr>
              <w:lastRenderedPageBreak/>
              <w:t>0.51</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lastRenderedPageBreak/>
              <w:t>G</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交通运输、仓储和邮政业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5,622,558.75</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0.95</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H</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住宿和餐饮业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3,107,988.00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0.52</w:t>
            </w:r>
          </w:p>
        </w:tc>
      </w:tr>
      <w:tr w:rsidR="005F458B" w:rsidRPr="007F52FA" w:rsidTr="00240CA0">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I</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240CA0" w:rsidR="005F458B" w:rsidRDefault="005F458B" w:rsidRPr="007F52FA">
            <w:pPr>
              <w:adjustRightInd w:val="0"/>
              <w:snapToGrid w:val="0"/>
              <w:spacing w:before="29" w:line="288" w:lineRule="auto"/>
              <w:rPr>
                <w:sz w:val="24"/>
              </w:rPr>
            </w:pPr>
            <w:r w:rsidRPr="007F52FA">
              <w:rPr>
                <w:sz w:val="24"/>
              </w:rPr>
              <w:t>信息传输、软件和信息技术服务业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3,764,139.86</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0.64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J</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金融业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34,819,296.19</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5.87</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K</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房地产业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7,651,522.00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1.29</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L</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租赁和商务服务业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M</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科学研究和技术服务业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lastRenderedPageBreak/>
              <w:t>N</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水利、环境和公共设施管理业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6,578.04</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0.00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O</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居民服务、修理和其他服务业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P</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教育</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Q</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卫生和社会工作</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R</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文化、体育和娱乐业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S</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综合</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合计</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96,185,269.49</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16.23</w:t>
            </w:r>
          </w:p>
        </w:tc>
      </w:tr>
    </w:tbl>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850"/>
        <w:gridCol w:w="1327"/>
        <w:gridCol w:w="1769"/>
        <w:gridCol w:w="1327"/>
        <w:gridCol w:w="1915"/>
        <w:gridCol w:w="1680"/>
      </w:tblGrid>
      <w:tr w:rsidR="000871DB" w:rsidRPr="007F52FA" w:rsidTr="00481DB2">
        <w:trPr>
          <w:jc w:val="center"/>
        </w:trPr>
        <w:tc>
          <w:tcPr>
            <w:tcW w:type="dxa" w:w="817"/>
            <w:vAlign w:val="center"/>
          </w:tcPr>
          <w:p w:rsidP="007C14DF" w:rsidR="000871DB" w:rsidRDefault="000871DB" w:rsidRPr="007F52FA">
            <w:pPr>
              <w:spacing w:before="29" w:line="288" w:lineRule="auto"/>
              <w:ind w:left="17"/>
              <w:jc w:val="center"/>
              <w:rPr>
                <w:color w:val="000000"/>
                <w:sz w:val="24"/>
              </w:rPr>
            </w:pPr>
            <w:r w:rsidRPr="007F52FA">
              <w:rPr>
                <w:color w:val="000000"/>
                <w:sz w:val="24"/>
              </w:rPr>
              <w:t>序号</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股票代码</w:t>
            </w:r>
          </w:p>
        </w:tc>
        <w:tc>
          <w:tcPr>
            <w:tcW w:type="dxa" w:w="1701"/>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股票名称</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type="dxa" w:w="1842"/>
            <w:vAlign w:val="center"/>
          </w:tcPr>
          <w:p w:rsidP="007C14DF" w:rsidR="000871DB" w:rsidRDefault="000871DB" w:rsidRPr="007F52FA">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type="dxa" w:w="1616"/>
            <w:vAlign w:val="center"/>
          </w:tcPr>
          <w:p w:rsidP="007C14DF" w:rsidR="000871DB" w:rsidRDefault="000871DB" w:rsidRPr="007F52FA">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tc>
          <w:tcPr>
            <w:vAlign w:val="center"/>
          </w:tcPr>
          <w:p>
            <w:pPr>
              <w:jc w:val="center"/>
            </w:pPr>
            <w:r>
              <w:rPr>
                <w:color w:val="000000"/>
                <w:sz w:val="24"/>
              </w:rPr>
              <w:t>1</w:t>
            </w:r>
          </w:p>
        </w:tc>
        <w:tc>
          <w:tcPr>
            <w:vAlign w:val="center"/>
          </w:tcPr>
          <w:p>
            <w:pPr>
              <w:jc w:val="center"/>
            </w:pPr>
            <w:r>
              <w:rPr>
                <w:color w:val="000000"/>
                <w:sz w:val="24"/>
              </w:rPr>
              <w:t>601398</w:t>
            </w:r>
          </w:p>
        </w:tc>
        <w:tc>
          <w:tcPr>
            <w:vAlign w:val="center"/>
          </w:tcPr>
          <w:p>
            <w:pPr>
              <w:jc w:val="center"/>
            </w:pPr>
            <w:r>
              <w:rPr>
                <w:color w:val="000000"/>
                <w:sz w:val="24"/>
              </w:rPr>
              <w:t>工商银行</w:t>
            </w:r>
          </w:p>
        </w:tc>
        <w:tc>
          <w:tcPr>
            <w:vAlign w:val="center"/>
          </w:tcPr>
          <w:p>
            <w:pPr>
              <w:jc w:val="right"/>
            </w:pPr>
            <w:r>
              <w:rPr>
                <w:color w:val="000000"/>
                <w:sz w:val="24"/>
              </w:rPr>
              <w:t>2,110,700</w:t>
            </w:r>
          </w:p>
        </w:tc>
        <w:tc>
          <w:tcPr>
            <w:vAlign w:val="center"/>
          </w:tcPr>
          <w:p>
            <w:pPr>
              <w:jc w:val="right"/>
            </w:pPr>
            <w:r>
              <w:rPr>
                <w:color w:val="000000"/>
                <w:sz w:val="24"/>
              </w:rPr>
              <w:t>12,410,916.00</w:t>
            </w:r>
          </w:p>
        </w:tc>
        <w:tc>
          <w:tcPr>
            <w:vAlign w:val="center"/>
          </w:tcPr>
          <w:p>
            <w:pPr>
              <w:jc w:val="right"/>
            </w:pPr>
            <w:r>
              <w:rPr>
                <w:color w:val="000000"/>
                <w:sz w:val="24"/>
              </w:rPr>
              <w:t>2.09</w:t>
            </w:r>
          </w:p>
        </w:tc>
      </w:tr>
      <w:tr>
        <w:tc>
          <w:tcPr>
            <w:vAlign w:val="center"/>
          </w:tcPr>
          <w:p>
            <w:pPr>
              <w:jc w:val="center"/>
            </w:pPr>
            <w:r>
              <w:rPr>
                <w:color w:val="000000"/>
                <w:sz w:val="24"/>
              </w:rPr>
              <w:t>2</w:t>
            </w:r>
          </w:p>
        </w:tc>
        <w:tc>
          <w:tcPr>
            <w:vAlign w:val="center"/>
          </w:tcPr>
          <w:p>
            <w:pPr>
              <w:jc w:val="center"/>
            </w:pPr>
            <w:r>
              <w:rPr>
                <w:color w:val="000000"/>
                <w:sz w:val="24"/>
              </w:rPr>
              <w:t>600519</w:t>
            </w:r>
          </w:p>
        </w:tc>
        <w:tc>
          <w:tcPr>
            <w:vAlign w:val="center"/>
          </w:tcPr>
          <w:p>
            <w:pPr>
              <w:jc w:val="center"/>
            </w:pPr>
            <w:r>
              <w:rPr>
                <w:color w:val="000000"/>
                <w:sz w:val="24"/>
              </w:rPr>
              <w:t>贵州茅台</w:t>
            </w:r>
          </w:p>
        </w:tc>
        <w:tc>
          <w:tcPr>
            <w:vAlign w:val="center"/>
          </w:tcPr>
          <w:p>
            <w:pPr>
              <w:jc w:val="right"/>
            </w:pPr>
            <w:r>
              <w:rPr>
                <w:color w:val="000000"/>
                <w:sz w:val="24"/>
              </w:rPr>
              <w:t>10,000</w:t>
            </w:r>
          </w:p>
        </w:tc>
        <w:tc>
          <w:tcPr>
            <w:vAlign w:val="center"/>
          </w:tcPr>
          <w:p>
            <w:pPr>
              <w:jc w:val="right"/>
            </w:pPr>
            <w:r>
              <w:rPr>
                <w:color w:val="000000"/>
                <w:sz w:val="24"/>
              </w:rPr>
              <w:t>11,830,000.00</w:t>
            </w:r>
          </w:p>
        </w:tc>
        <w:tc>
          <w:tcPr>
            <w:vAlign w:val="center"/>
          </w:tcPr>
          <w:p>
            <w:pPr>
              <w:jc w:val="right"/>
            </w:pPr>
            <w:r>
              <w:rPr>
                <w:color w:val="000000"/>
                <w:sz w:val="24"/>
              </w:rPr>
              <w:t>2.00</w:t>
            </w:r>
          </w:p>
        </w:tc>
      </w:tr>
      <w:tr>
        <w:tc>
          <w:tcPr>
            <w:vAlign w:val="center"/>
          </w:tcPr>
          <w:p>
            <w:pPr>
              <w:jc w:val="center"/>
            </w:pPr>
            <w:r>
              <w:rPr>
                <w:color w:val="000000"/>
                <w:sz w:val="24"/>
              </w:rPr>
              <w:t>3</w:t>
            </w:r>
          </w:p>
        </w:tc>
        <w:tc>
          <w:tcPr>
            <w:vAlign w:val="center"/>
          </w:tcPr>
          <w:p>
            <w:pPr>
              <w:jc w:val="center"/>
            </w:pPr>
            <w:r>
              <w:rPr>
                <w:color w:val="000000"/>
                <w:sz w:val="24"/>
              </w:rPr>
              <w:t>601628</w:t>
            </w:r>
          </w:p>
        </w:tc>
        <w:tc>
          <w:tcPr>
            <w:vAlign w:val="center"/>
          </w:tcPr>
          <w:p>
            <w:pPr>
              <w:jc w:val="center"/>
            </w:pPr>
            <w:r>
              <w:rPr>
                <w:color w:val="000000"/>
                <w:sz w:val="24"/>
              </w:rPr>
              <w:t>中国人寿</w:t>
            </w:r>
          </w:p>
        </w:tc>
        <w:tc>
          <w:tcPr>
            <w:vAlign w:val="center"/>
          </w:tcPr>
          <w:p>
            <w:pPr>
              <w:jc w:val="right"/>
            </w:pPr>
            <w:r>
              <w:rPr>
                <w:color w:val="000000"/>
                <w:sz w:val="24"/>
              </w:rPr>
              <w:t>295,000</w:t>
            </w:r>
          </w:p>
        </w:tc>
        <w:tc>
          <w:tcPr>
            <w:vAlign w:val="center"/>
          </w:tcPr>
          <w:p>
            <w:pPr>
              <w:jc w:val="right"/>
            </w:pPr>
            <w:r>
              <w:rPr>
                <w:color w:val="000000"/>
                <w:sz w:val="24"/>
              </w:rPr>
              <w:t>10,286,650.00</w:t>
            </w:r>
          </w:p>
        </w:tc>
        <w:tc>
          <w:tcPr>
            <w:vAlign w:val="center"/>
          </w:tcPr>
          <w:p>
            <w:pPr>
              <w:jc w:val="right"/>
            </w:pPr>
            <w:r>
              <w:rPr>
                <w:color w:val="000000"/>
                <w:sz w:val="24"/>
              </w:rPr>
              <w:t>1.74</w:t>
            </w:r>
          </w:p>
        </w:tc>
      </w:tr>
      <w:tr>
        <w:tc>
          <w:tcPr>
            <w:vAlign w:val="center"/>
          </w:tcPr>
          <w:p>
            <w:pPr>
              <w:jc w:val="center"/>
            </w:pPr>
            <w:r>
              <w:rPr>
                <w:color w:val="000000"/>
                <w:sz w:val="24"/>
              </w:rPr>
              <w:t>4</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472,900</w:t>
            </w:r>
          </w:p>
        </w:tc>
        <w:tc>
          <w:tcPr>
            <w:vAlign w:val="center"/>
          </w:tcPr>
          <w:p>
            <w:pPr>
              <w:jc w:val="right"/>
            </w:pPr>
            <w:r>
              <w:rPr>
                <w:color w:val="000000"/>
                <w:sz w:val="24"/>
              </w:rPr>
              <w:t>7,651,522.00</w:t>
            </w:r>
          </w:p>
        </w:tc>
        <w:tc>
          <w:tcPr>
            <w:vAlign w:val="center"/>
          </w:tcPr>
          <w:p>
            <w:pPr>
              <w:jc w:val="right"/>
            </w:pPr>
            <w:r>
              <w:rPr>
                <w:color w:val="000000"/>
                <w:sz w:val="24"/>
              </w:rPr>
              <w:t>1.29</w:t>
            </w:r>
          </w:p>
        </w:tc>
      </w:tr>
      <w:tr>
        <w:tc>
          <w:tcPr>
            <w:vAlign w:val="center"/>
          </w:tcPr>
          <w:p>
            <w:pPr>
              <w:jc w:val="center"/>
            </w:pPr>
            <w:r>
              <w:rPr>
                <w:color w:val="000000"/>
                <w:sz w:val="24"/>
              </w:rPr>
              <w:t>5</w:t>
            </w:r>
          </w:p>
        </w:tc>
        <w:tc>
          <w:tcPr>
            <w:vAlign w:val="center"/>
          </w:tcPr>
          <w:p>
            <w:pPr>
              <w:jc w:val="center"/>
            </w:pPr>
            <w:r>
              <w:rPr>
                <w:color w:val="000000"/>
                <w:sz w:val="24"/>
              </w:rPr>
              <w:t>601288</w:t>
            </w:r>
          </w:p>
        </w:tc>
        <w:tc>
          <w:tcPr>
            <w:vAlign w:val="center"/>
          </w:tcPr>
          <w:p>
            <w:pPr>
              <w:jc w:val="center"/>
            </w:pPr>
            <w:r>
              <w:rPr>
                <w:color w:val="000000"/>
                <w:sz w:val="24"/>
              </w:rPr>
              <w:t>农业银行</w:t>
            </w:r>
          </w:p>
        </w:tc>
        <w:tc>
          <w:tcPr>
            <w:vAlign w:val="center"/>
          </w:tcPr>
          <w:p>
            <w:pPr>
              <w:jc w:val="right"/>
            </w:pPr>
            <w:r>
              <w:rPr>
                <w:color w:val="000000"/>
                <w:sz w:val="24"/>
              </w:rPr>
              <w:t>2,000,000</w:t>
            </w:r>
          </w:p>
        </w:tc>
        <w:tc>
          <w:tcPr>
            <w:vAlign w:val="center"/>
          </w:tcPr>
          <w:p>
            <w:pPr>
              <w:jc w:val="right"/>
            </w:pPr>
            <w:r>
              <w:rPr>
                <w:color w:val="000000"/>
                <w:sz w:val="24"/>
              </w:rPr>
              <w:t>7,380,000.00</w:t>
            </w:r>
          </w:p>
        </w:tc>
        <w:tc>
          <w:tcPr>
            <w:vAlign w:val="center"/>
          </w:tcPr>
          <w:p>
            <w:pPr>
              <w:jc w:val="right"/>
            </w:pPr>
            <w:r>
              <w:rPr>
                <w:color w:val="000000"/>
                <w:sz w:val="24"/>
              </w:rPr>
              <w:t>1.25</w:t>
            </w:r>
          </w:p>
        </w:tc>
      </w:tr>
      <w:tr>
        <w:tc>
          <w:tcPr>
            <w:vAlign w:val="center"/>
          </w:tcPr>
          <w:p>
            <w:pPr>
              <w:jc w:val="center"/>
            </w:pPr>
            <w:r>
              <w:rPr>
                <w:color w:val="000000"/>
                <w:sz w:val="24"/>
              </w:rPr>
              <w:t>6</w:t>
            </w:r>
          </w:p>
        </w:tc>
        <w:tc>
          <w:tcPr>
            <w:vAlign w:val="center"/>
          </w:tcPr>
          <w:p>
            <w:pPr>
              <w:jc w:val="center"/>
            </w:pPr>
            <w:r>
              <w:rPr>
                <w:color w:val="000000"/>
                <w:sz w:val="24"/>
              </w:rPr>
              <w:t>600887</w:t>
            </w:r>
          </w:p>
        </w:tc>
        <w:tc>
          <w:tcPr>
            <w:vAlign w:val="center"/>
          </w:tcPr>
          <w:p>
            <w:pPr>
              <w:jc w:val="center"/>
            </w:pPr>
            <w:r>
              <w:rPr>
                <w:color w:val="000000"/>
                <w:sz w:val="24"/>
              </w:rPr>
              <w:t>伊利股份</w:t>
            </w:r>
          </w:p>
        </w:tc>
        <w:tc>
          <w:tcPr>
            <w:vAlign w:val="center"/>
          </w:tcPr>
          <w:p>
            <w:pPr>
              <w:jc w:val="right"/>
            </w:pPr>
            <w:r>
              <w:rPr>
                <w:color w:val="000000"/>
                <w:sz w:val="24"/>
              </w:rPr>
              <w:t>200,000</w:t>
            </w:r>
          </w:p>
        </w:tc>
        <w:tc>
          <w:tcPr>
            <w:vAlign w:val="center"/>
          </w:tcPr>
          <w:p>
            <w:pPr>
              <w:jc w:val="right"/>
            </w:pPr>
            <w:r>
              <w:rPr>
                <w:color w:val="000000"/>
                <w:sz w:val="24"/>
              </w:rPr>
              <w:t>6,188,000.00</w:t>
            </w:r>
          </w:p>
        </w:tc>
        <w:tc>
          <w:tcPr>
            <w:vAlign w:val="center"/>
          </w:tcPr>
          <w:p>
            <w:pPr>
              <w:jc w:val="right"/>
            </w:pPr>
            <w:r>
              <w:rPr>
                <w:color w:val="000000"/>
                <w:sz w:val="24"/>
              </w:rPr>
              <w:t>1.04</w:t>
            </w:r>
          </w:p>
        </w:tc>
      </w:tr>
      <w:tr>
        <w:tc>
          <w:tcPr>
            <w:vAlign w:val="center"/>
          </w:tcPr>
          <w:p>
            <w:pPr>
              <w:jc w:val="center"/>
            </w:pPr>
            <w:r>
              <w:rPr>
                <w:color w:val="000000"/>
                <w:sz w:val="24"/>
              </w:rPr>
              <w:t>7</w:t>
            </w:r>
          </w:p>
        </w:tc>
        <w:tc>
          <w:tcPr>
            <w:vAlign w:val="center"/>
          </w:tcPr>
          <w:p>
            <w:pPr>
              <w:jc w:val="center"/>
            </w:pPr>
            <w:r>
              <w:rPr>
                <w:color w:val="000000"/>
                <w:sz w:val="24"/>
              </w:rPr>
              <w:t>002271</w:t>
            </w:r>
          </w:p>
        </w:tc>
        <w:tc>
          <w:tcPr>
            <w:vAlign w:val="center"/>
          </w:tcPr>
          <w:p>
            <w:pPr>
              <w:jc w:val="center"/>
            </w:pPr>
            <w:r>
              <w:rPr>
                <w:color w:val="000000"/>
                <w:sz w:val="24"/>
              </w:rPr>
              <w:t>东方雨虹</w:t>
            </w:r>
          </w:p>
        </w:tc>
        <w:tc>
          <w:tcPr>
            <w:vAlign w:val="center"/>
          </w:tcPr>
          <w:p>
            <w:pPr>
              <w:jc w:val="right"/>
            </w:pPr>
            <w:r>
              <w:rPr>
                <w:color w:val="000000"/>
                <w:sz w:val="24"/>
              </w:rPr>
              <w:t>199,963</w:t>
            </w:r>
          </w:p>
        </w:tc>
        <w:tc>
          <w:tcPr>
            <w:vAlign w:val="center"/>
          </w:tcPr>
          <w:p>
            <w:pPr>
              <w:jc w:val="right"/>
            </w:pPr>
            <w:r>
              <w:rPr>
                <w:color w:val="000000"/>
                <w:sz w:val="24"/>
              </w:rPr>
              <w:t>5,261,026.53</w:t>
            </w:r>
          </w:p>
        </w:tc>
        <w:tc>
          <w:tcPr>
            <w:vAlign w:val="center"/>
          </w:tcPr>
          <w:p>
            <w:pPr>
              <w:jc w:val="right"/>
            </w:pPr>
            <w:r>
              <w:rPr>
                <w:color w:val="000000"/>
                <w:sz w:val="24"/>
              </w:rPr>
              <w:t>0.89</w:t>
            </w:r>
          </w:p>
        </w:tc>
      </w:tr>
      <w:tr>
        <w:tc>
          <w:tcPr>
            <w:vAlign w:val="center"/>
          </w:tcPr>
          <w:p>
            <w:pPr>
              <w:jc w:val="center"/>
            </w:pPr>
            <w:r>
              <w:rPr>
                <w:color w:val="000000"/>
                <w:sz w:val="24"/>
              </w:rPr>
              <w:t>8</w:t>
            </w:r>
          </w:p>
        </w:tc>
        <w:tc>
          <w:tcPr>
            <w:vAlign w:val="center"/>
          </w:tcPr>
          <w:p>
            <w:pPr>
              <w:jc w:val="center"/>
            </w:pPr>
            <w:r>
              <w:rPr>
                <w:color w:val="000000"/>
                <w:sz w:val="24"/>
              </w:rPr>
              <w:t>600690</w:t>
            </w:r>
          </w:p>
        </w:tc>
        <w:tc>
          <w:tcPr>
            <w:vAlign w:val="center"/>
          </w:tcPr>
          <w:p>
            <w:pPr>
              <w:jc w:val="center"/>
            </w:pPr>
            <w:r>
              <w:rPr>
                <w:color w:val="000000"/>
                <w:sz w:val="24"/>
              </w:rPr>
              <w:t>海尔智家</w:t>
            </w:r>
          </w:p>
        </w:tc>
        <w:tc>
          <w:tcPr>
            <w:vAlign w:val="center"/>
          </w:tcPr>
          <w:p>
            <w:pPr>
              <w:jc w:val="right"/>
            </w:pPr>
            <w:r>
              <w:rPr>
                <w:color w:val="000000"/>
                <w:sz w:val="24"/>
              </w:rPr>
              <w:t>200,000</w:t>
            </w:r>
          </w:p>
        </w:tc>
        <w:tc>
          <w:tcPr>
            <w:vAlign w:val="center"/>
          </w:tcPr>
          <w:p>
            <w:pPr>
              <w:jc w:val="right"/>
            </w:pPr>
            <w:r>
              <w:rPr>
                <w:color w:val="000000"/>
                <w:sz w:val="24"/>
              </w:rPr>
              <w:t>3,900,000.00</w:t>
            </w:r>
          </w:p>
        </w:tc>
        <w:tc>
          <w:tcPr>
            <w:vAlign w:val="center"/>
          </w:tcPr>
          <w:p>
            <w:pPr>
              <w:jc w:val="right"/>
            </w:pPr>
            <w:r>
              <w:rPr>
                <w:color w:val="000000"/>
                <w:sz w:val="24"/>
              </w:rPr>
              <w:t>0.66</w:t>
            </w:r>
          </w:p>
        </w:tc>
      </w:tr>
      <w:tr>
        <w:tc>
          <w:tcPr>
            <w:vAlign w:val="center"/>
          </w:tcPr>
          <w:p>
            <w:pPr>
              <w:jc w:val="center"/>
            </w:pPr>
            <w:r>
              <w:rPr>
                <w:color w:val="000000"/>
                <w:sz w:val="24"/>
              </w:rPr>
              <w:t>9</w:t>
            </w:r>
          </w:p>
        </w:tc>
        <w:tc>
          <w:tcPr>
            <w:vAlign w:val="center"/>
          </w:tcPr>
          <w:p>
            <w:pPr>
              <w:jc w:val="center"/>
            </w:pPr>
            <w:r>
              <w:rPr>
                <w:color w:val="000000"/>
                <w:sz w:val="24"/>
              </w:rPr>
              <w:t>600009</w:t>
            </w:r>
          </w:p>
        </w:tc>
        <w:tc>
          <w:tcPr>
            <w:vAlign w:val="center"/>
          </w:tcPr>
          <w:p>
            <w:pPr>
              <w:jc w:val="center"/>
            </w:pPr>
            <w:r>
              <w:rPr>
                <w:color w:val="000000"/>
                <w:sz w:val="24"/>
              </w:rPr>
              <w:t>上海机场</w:t>
            </w:r>
          </w:p>
        </w:tc>
        <w:tc>
          <w:tcPr>
            <w:vAlign w:val="center"/>
          </w:tcPr>
          <w:p>
            <w:pPr>
              <w:jc w:val="right"/>
            </w:pPr>
            <w:r>
              <w:rPr>
                <w:color w:val="000000"/>
                <w:sz w:val="24"/>
              </w:rPr>
              <w:t>46,449</w:t>
            </w:r>
          </w:p>
        </w:tc>
        <w:tc>
          <w:tcPr>
            <w:vAlign w:val="center"/>
          </w:tcPr>
          <w:p>
            <w:pPr>
              <w:jc w:val="right"/>
            </w:pPr>
            <w:r>
              <w:rPr>
                <w:color w:val="000000"/>
                <w:sz w:val="24"/>
              </w:rPr>
              <w:t>3,657,858.75</w:t>
            </w:r>
          </w:p>
        </w:tc>
        <w:tc>
          <w:tcPr>
            <w:vAlign w:val="center"/>
          </w:tcPr>
          <w:p>
            <w:pPr>
              <w:jc w:val="right"/>
            </w:pPr>
            <w:r>
              <w:rPr>
                <w:color w:val="000000"/>
                <w:sz w:val="24"/>
              </w:rPr>
              <w:t>0.62</w:t>
            </w:r>
          </w:p>
        </w:tc>
      </w:tr>
      <w:tr>
        <w:tc>
          <w:tcPr>
            <w:vAlign w:val="center"/>
          </w:tcPr>
          <w:p>
            <w:pPr>
              <w:jc w:val="center"/>
            </w:pPr>
            <w:r>
              <w:rPr>
                <w:color w:val="000000"/>
                <w:sz w:val="24"/>
              </w:rPr>
              <w:t>10</w:t>
            </w:r>
          </w:p>
        </w:tc>
        <w:tc>
          <w:tcPr>
            <w:vAlign w:val="center"/>
          </w:tcPr>
          <w:p>
            <w:pPr>
              <w:jc w:val="center"/>
            </w:pPr>
            <w:r>
              <w:rPr>
                <w:color w:val="000000"/>
                <w:sz w:val="24"/>
              </w:rPr>
              <w:t>000538</w:t>
            </w:r>
          </w:p>
        </w:tc>
        <w:tc>
          <w:tcPr>
            <w:vAlign w:val="center"/>
          </w:tcPr>
          <w:p>
            <w:pPr>
              <w:jc w:val="center"/>
            </w:pPr>
            <w:r>
              <w:rPr>
                <w:color w:val="000000"/>
                <w:sz w:val="24"/>
              </w:rPr>
              <w:t>云南白药</w:t>
            </w:r>
          </w:p>
        </w:tc>
        <w:tc>
          <w:tcPr>
            <w:vAlign w:val="center"/>
          </w:tcPr>
          <w:p>
            <w:pPr>
              <w:jc w:val="right"/>
            </w:pPr>
            <w:r>
              <w:rPr>
                <w:color w:val="000000"/>
                <w:sz w:val="24"/>
              </w:rPr>
              <w:t>39,928</w:t>
            </w:r>
          </w:p>
        </w:tc>
        <w:tc>
          <w:tcPr>
            <w:vAlign w:val="center"/>
          </w:tcPr>
          <w:p>
            <w:pPr>
              <w:jc w:val="right"/>
            </w:pPr>
            <w:r>
              <w:rPr>
                <w:color w:val="000000"/>
                <w:sz w:val="24"/>
              </w:rPr>
              <w:t>3,570,761.04</w:t>
            </w:r>
          </w:p>
        </w:tc>
        <w:tc>
          <w:tcPr>
            <w:vAlign w:val="center"/>
          </w:tcPr>
          <w:p>
            <w:pPr>
              <w:jc w:val="right"/>
            </w:pPr>
            <w:r>
              <w:rPr>
                <w:color w:val="000000"/>
                <w:sz w:val="24"/>
              </w:rPr>
              <w:t>0.60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33,239,000.00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5.61</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33,239,000.00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5.61</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242,250,000.00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40.87</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30,033,000.00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5.07</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203,172,000.00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34.28</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2,536,747.60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0.43</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511,230,747.60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86.25</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011902521</w:t>
            </w:r>
          </w:p>
        </w:tc>
        <w:tc>
          <w:tcPr>
            <w:vAlign w:val="center"/>
          </w:tcPr>
          <w:p>
            <w:pPr>
              <w:jc w:val="center"/>
            </w:pPr>
            <w:r>
              <w:rPr>
                <w:color w:val="000000"/>
                <w:sz w:val="24"/>
              </w:rPr>
              <w:t>19鄂联投SCP003</w:t>
            </w:r>
          </w:p>
        </w:tc>
        <w:tc>
          <w:tcPr>
            <w:vAlign w:val="center"/>
          </w:tcPr>
          <w:p>
            <w:pPr>
              <w:jc w:val="right"/>
            </w:pPr>
            <w:r>
              <w:rPr>
                <w:color w:val="000000"/>
                <w:sz w:val="24"/>
              </w:rPr>
              <w:t>300,000</w:t>
            </w:r>
          </w:p>
        </w:tc>
        <w:tc>
          <w:tcPr>
            <w:vAlign w:val="center"/>
          </w:tcPr>
          <w:p>
            <w:pPr>
              <w:jc w:val="right"/>
            </w:pPr>
            <w:r>
              <w:rPr>
                <w:color w:val="000000"/>
                <w:sz w:val="24"/>
              </w:rPr>
              <w:t>30,033,000.00</w:t>
            </w:r>
          </w:p>
        </w:tc>
        <w:tc>
          <w:tcPr>
            <w:vAlign w:val="center"/>
          </w:tcPr>
          <w:p>
            <w:pPr>
              <w:jc w:val="right"/>
            </w:pPr>
            <w:r>
              <w:rPr>
                <w:color w:val="000000"/>
                <w:sz w:val="24"/>
              </w:rPr>
              <w:t>5.07</w:t>
            </w:r>
          </w:p>
        </w:tc>
      </w:tr>
      <w:tr>
        <w:tc>
          <w:tcPr>
            <w:vAlign w:val="center"/>
          </w:tcPr>
          <w:p>
            <w:pPr>
              <w:jc w:val="center"/>
            </w:pPr>
            <w:r>
              <w:rPr>
                <w:color w:val="000000"/>
                <w:sz w:val="24"/>
              </w:rPr>
              <w:t>2</w:t>
            </w:r>
          </w:p>
        </w:tc>
        <w:tc>
          <w:tcPr>
            <w:vAlign w:val="center"/>
          </w:tcPr>
          <w:p>
            <w:pPr>
              <w:jc w:val="center"/>
            </w:pPr>
            <w:r>
              <w:rPr>
                <w:color w:val="000000"/>
                <w:sz w:val="24"/>
              </w:rPr>
              <w:t>018007</w:t>
            </w:r>
          </w:p>
        </w:tc>
        <w:tc>
          <w:tcPr>
            <w:vAlign w:val="center"/>
          </w:tcPr>
          <w:p>
            <w:pPr>
              <w:jc w:val="center"/>
            </w:pPr>
            <w:r>
              <w:rPr>
                <w:color w:val="000000"/>
                <w:sz w:val="24"/>
              </w:rPr>
              <w:t>国开1801</w:t>
            </w:r>
          </w:p>
        </w:tc>
        <w:tc>
          <w:tcPr>
            <w:vAlign w:val="center"/>
          </w:tcPr>
          <w:p>
            <w:pPr>
              <w:jc w:val="right"/>
            </w:pPr>
            <w:r>
              <w:rPr>
                <w:color w:val="000000"/>
                <w:sz w:val="24"/>
              </w:rPr>
              <w:t>280,000</w:t>
            </w:r>
          </w:p>
        </w:tc>
        <w:tc>
          <w:tcPr>
            <w:vAlign w:val="center"/>
          </w:tcPr>
          <w:p>
            <w:pPr>
              <w:jc w:val="right"/>
            </w:pPr>
            <w:r>
              <w:rPr>
                <w:color w:val="000000"/>
                <w:sz w:val="24"/>
              </w:rPr>
              <w:t>28,210,000.00</w:t>
            </w:r>
          </w:p>
        </w:tc>
        <w:tc>
          <w:tcPr>
            <w:vAlign w:val="center"/>
          </w:tcPr>
          <w:p>
            <w:pPr>
              <w:jc w:val="right"/>
            </w:pPr>
            <w:r>
              <w:rPr>
                <w:color w:val="000000"/>
                <w:sz w:val="24"/>
              </w:rPr>
              <w:t>4.76</w:t>
            </w:r>
          </w:p>
        </w:tc>
      </w:tr>
      <w:tr>
        <w:tc>
          <w:tcPr>
            <w:vAlign w:val="center"/>
          </w:tcPr>
          <w:p>
            <w:pPr>
              <w:jc w:val="center"/>
            </w:pPr>
            <w:r>
              <w:rPr>
                <w:color w:val="000000"/>
                <w:sz w:val="24"/>
              </w:rPr>
              <w:t>3</w:t>
            </w:r>
          </w:p>
        </w:tc>
        <w:tc>
          <w:tcPr>
            <w:vAlign w:val="center"/>
          </w:tcPr>
          <w:p>
            <w:pPr>
              <w:jc w:val="center"/>
            </w:pPr>
            <w:r>
              <w:rPr>
                <w:color w:val="000000"/>
                <w:sz w:val="24"/>
              </w:rPr>
              <w:t>101800696</w:t>
            </w:r>
          </w:p>
        </w:tc>
        <w:tc>
          <w:tcPr>
            <w:vAlign w:val="center"/>
          </w:tcPr>
          <w:p>
            <w:pPr>
              <w:jc w:val="center"/>
            </w:pPr>
            <w:r>
              <w:rPr>
                <w:color w:val="000000"/>
                <w:sz w:val="24"/>
              </w:rPr>
              <w:t>18闽投MTN002</w:t>
            </w:r>
          </w:p>
        </w:tc>
        <w:tc>
          <w:tcPr>
            <w:vAlign w:val="center"/>
          </w:tcPr>
          <w:p>
            <w:pPr>
              <w:jc w:val="right"/>
            </w:pPr>
            <w:r>
              <w:rPr>
                <w:color w:val="000000"/>
                <w:sz w:val="24"/>
              </w:rPr>
              <w:t>200,000</w:t>
            </w:r>
          </w:p>
        </w:tc>
        <w:tc>
          <w:tcPr>
            <w:vAlign w:val="center"/>
          </w:tcPr>
          <w:p>
            <w:pPr>
              <w:jc w:val="right"/>
            </w:pPr>
            <w:r>
              <w:rPr>
                <w:color w:val="000000"/>
                <w:sz w:val="24"/>
              </w:rPr>
              <w:t>20,564,000.00</w:t>
            </w:r>
          </w:p>
        </w:tc>
        <w:tc>
          <w:tcPr>
            <w:vAlign w:val="center"/>
          </w:tcPr>
          <w:p>
            <w:pPr>
              <w:jc w:val="right"/>
            </w:pPr>
            <w:r>
              <w:rPr>
                <w:color w:val="000000"/>
                <w:sz w:val="24"/>
              </w:rPr>
              <w:t>3.47</w:t>
            </w:r>
          </w:p>
        </w:tc>
      </w:tr>
      <w:tr>
        <w:tc>
          <w:tcPr>
            <w:vAlign w:val="center"/>
          </w:tcPr>
          <w:p>
            <w:pPr>
              <w:jc w:val="center"/>
            </w:pPr>
            <w:r>
              <w:rPr>
                <w:color w:val="000000"/>
                <w:sz w:val="24"/>
              </w:rPr>
              <w:t>4</w:t>
            </w:r>
          </w:p>
        </w:tc>
        <w:tc>
          <w:tcPr>
            <w:vAlign w:val="center"/>
          </w:tcPr>
          <w:p>
            <w:pPr>
              <w:jc w:val="center"/>
            </w:pPr>
            <w:r>
              <w:rPr>
                <w:color w:val="000000"/>
                <w:sz w:val="24"/>
              </w:rPr>
              <w:t>143647</w:t>
            </w:r>
          </w:p>
        </w:tc>
        <w:tc>
          <w:tcPr>
            <w:vAlign w:val="center"/>
          </w:tcPr>
          <w:p>
            <w:pPr>
              <w:jc w:val="center"/>
            </w:pPr>
            <w:r>
              <w:rPr>
                <w:color w:val="000000"/>
                <w:sz w:val="24"/>
              </w:rPr>
              <w:t>18电投03</w:t>
            </w:r>
          </w:p>
        </w:tc>
        <w:tc>
          <w:tcPr>
            <w:vAlign w:val="center"/>
          </w:tcPr>
          <w:p>
            <w:pPr>
              <w:jc w:val="right"/>
            </w:pPr>
            <w:r>
              <w:rPr>
                <w:color w:val="000000"/>
                <w:sz w:val="24"/>
              </w:rPr>
              <w:t>200,000</w:t>
            </w:r>
          </w:p>
        </w:tc>
        <w:tc>
          <w:tcPr>
            <w:vAlign w:val="center"/>
          </w:tcPr>
          <w:p>
            <w:pPr>
              <w:jc w:val="right"/>
            </w:pPr>
            <w:r>
              <w:rPr>
                <w:color w:val="000000"/>
                <w:sz w:val="24"/>
              </w:rPr>
              <w:t>20,400,000.00</w:t>
            </w:r>
          </w:p>
        </w:tc>
        <w:tc>
          <w:tcPr>
            <w:vAlign w:val="center"/>
          </w:tcPr>
          <w:p>
            <w:pPr>
              <w:jc w:val="right"/>
            </w:pPr>
            <w:r>
              <w:rPr>
                <w:color w:val="000000"/>
                <w:sz w:val="24"/>
              </w:rPr>
              <w:t>3.44</w:t>
            </w:r>
          </w:p>
        </w:tc>
      </w:tr>
      <w:tr>
        <w:tc>
          <w:tcPr>
            <w:vAlign w:val="center"/>
          </w:tcPr>
          <w:p>
            <w:pPr>
              <w:jc w:val="center"/>
            </w:pPr>
            <w:r>
              <w:rPr>
                <w:color w:val="000000"/>
                <w:sz w:val="24"/>
              </w:rPr>
              <w:t>5</w:t>
            </w:r>
          </w:p>
        </w:tc>
        <w:tc>
          <w:tcPr>
            <w:vAlign w:val="center"/>
          </w:tcPr>
          <w:p>
            <w:pPr>
              <w:jc w:val="center"/>
            </w:pPr>
            <w:r>
              <w:rPr>
                <w:color w:val="000000"/>
                <w:sz w:val="24"/>
              </w:rPr>
              <w:t>143662</w:t>
            </w:r>
          </w:p>
        </w:tc>
        <w:tc>
          <w:tcPr>
            <w:vAlign w:val="center"/>
          </w:tcPr>
          <w:p>
            <w:pPr>
              <w:jc w:val="center"/>
            </w:pPr>
            <w:r>
              <w:rPr>
                <w:color w:val="000000"/>
                <w:sz w:val="24"/>
              </w:rPr>
              <w:t>18国电02</w:t>
            </w:r>
          </w:p>
        </w:tc>
        <w:tc>
          <w:tcPr>
            <w:vAlign w:val="center"/>
          </w:tcPr>
          <w:p>
            <w:pPr>
              <w:jc w:val="right"/>
            </w:pPr>
            <w:r>
              <w:rPr>
                <w:color w:val="000000"/>
                <w:sz w:val="24"/>
              </w:rPr>
              <w:t>200,000</w:t>
            </w:r>
          </w:p>
        </w:tc>
        <w:tc>
          <w:tcPr>
            <w:vAlign w:val="center"/>
          </w:tcPr>
          <w:p>
            <w:pPr>
              <w:jc w:val="right"/>
            </w:pPr>
            <w:r>
              <w:rPr>
                <w:color w:val="000000"/>
                <w:sz w:val="24"/>
              </w:rPr>
              <w:t>20,398,000.00</w:t>
            </w:r>
          </w:p>
        </w:tc>
        <w:tc>
          <w:tcPr>
            <w:vAlign w:val="center"/>
          </w:tcPr>
          <w:p>
            <w:pPr>
              <w:jc w:val="right"/>
            </w:pPr>
            <w:r>
              <w:rPr>
                <w:color w:val="000000"/>
                <w:sz w:val="24"/>
              </w:rPr>
              <w:t>3.44</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384E65">
        <w:rPr>
          <w:kern w:val="0"/>
          <w:sz w:val="24"/>
        </w:rPr>
        <w:t>5.11.1报告期内本基金投资的前十名证券的发行主体未被监管部门立案调查，在本报告编制日前一年内本基金投资的前十名证券的发行主体未受到公开谴责和处罚。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384E65">
        <w:rPr>
          <w:kern w:val="0"/>
          <w:sz w:val="24"/>
        </w:rPr>
        <w:t>5.11.2本基金投资的前十名股票中，没有超出基金合同规定的备选股票库之外的股票。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69,987.39</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10,088,611.10</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3,334,119.95</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13,492,718.44</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本基金本报告期末前十名股票中不存在流通受限情况。</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交银新回报灵活配置混合A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交银新回报灵活配置混合C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395,235,116.48</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11,963,711.80</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53,391,234.02</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2,099,536.78</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22,447,920.51</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1,064,400.61</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426,178,429.99</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12,998,847.97</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102,475,661.83</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102,475,661.83</w:t>
            </w:r>
          </w:p>
        </w:tc>
        <w:tc>
          <w:tcPr>
            <w:vAlign w:val="center"/>
          </w:tcPr>
          <w:p>
            <w:pPr>
              <w:jc w:val="center"/>
            </w:pPr>
            <w:r>
              <w:rPr>
                <w:rFonts w:ascii="宋体" w:hAnsi="宋体" w:hint="eastAsia"/>
                <w:color w:val="000000"/>
                <w:kern w:val="0"/>
                <w:szCs w:val="21"/>
              </w:rPr>
              <w:t>23.33%</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144,229,807.69</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144,229,807.69</w:t>
            </w:r>
          </w:p>
        </w:tc>
        <w:tc>
          <w:tcPr>
            <w:vAlign w:val="center"/>
          </w:tcPr>
          <w:p>
            <w:pPr>
              <w:jc w:val="center"/>
            </w:pPr>
            <w:r>
              <w:rPr>
                <w:rFonts w:ascii="宋体" w:hAnsi="宋体" w:hint="eastAsia"/>
                <w:color w:val="000000"/>
                <w:kern w:val="0"/>
                <w:szCs w:val="21"/>
              </w:rPr>
              <w:t>32.84%</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8.2 影响投资者决策的其他重要信息</w:t>
      </w:r>
    </w:p>
    <w:p w:rsidP="00ED0E09" w:rsidR="00ED0E09" w:rsidRDefault="00ED0E09">
      <w:pPr>
        <w:spacing w:line="360" w:lineRule="auto"/>
        <w:ind w:firstLine="420" w:firstLineChars="20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7C14DF" w:rsidR="00BB1033" w:rsidRDefault="00BB1033" w:rsidRPr="007F52FA">
      <w:pPr>
        <w:spacing w:before="29" w:line="288" w:lineRule="auto"/>
        <w:ind w:firstLine="480" w:firstLineChars="200"/>
        <w:rPr>
          <w:rFonts w:eastAsiaTheme="minorEastAsia"/>
          <w:color w:val="000000"/>
          <w:sz w:val="24"/>
        </w:rPr>
      </w:pPr>
    </w:p>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1、中国证监会准予交银施罗德新回报灵活配置混合型证券投资基金募集注册的文件；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2、《交银施罗德新回报灵活配置混合型证券投资基金基金合同》；</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3、《交银施罗德新回报灵活配置混合型证券投资基金招募说明书》；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4、《交银施罗德新回报灵活配置混合型证券投资基金托管协议》；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5、基金管理人业务资格批件、营业执照；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6、基金托管人业务资格批件、营业执照；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7、关于申请募集注册交银施罗德新回报灵活配置混合型证券投资基金的法律意见书；</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8、报告期内交银施罗德新回报灵活配置混合型证券投资基金在指定报刊上各项公告的原稿。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63" w:rsidRDefault="006A0963">
      <w:r>
        <w:separator/>
      </w:r>
    </w:p>
  </w:endnote>
  <w:endnote w:type="continuationSeparator" w:id="0">
    <w:p w:rsidR="006A0963" w:rsidRDefault="006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910F55">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910F55">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A0963" w:rsidRDefault="006A0963">
      <w:r>
        <w:separator/>
      </w:r>
    </w:p>
  </w:footnote>
  <w:footnote w:id="0" w:type="continuationSeparator">
    <w:p w:rsidR="006A0963" w:rsidRDefault="006A0963">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交银施罗德新回报灵活配置混合型证券投资基金2019年第4季度报告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4E0A-9053-45FF-AFA1-C8F6CF3B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251</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2019-10-16T02:01:00Z</dcterms:modified>
  <cp:revision>403</cp:revision>
</cp:coreProperties>
</file>