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交银施罗德消费新驱动股票型证券投资基金</w:t>
      </w:r>
    </w:p>
    <w:p w:rsidR="002279D3" w:rsidRPr="0081286B" w:rsidRDefault="002279D3" w:rsidP="00C15CAC">
      <w:pPr>
        <w:spacing w:before="29" w:line="288" w:lineRule="auto"/>
        <w:jc w:val="center"/>
        <w:rPr>
          <w:b/>
          <w:sz w:val="36"/>
          <w:szCs w:val="36"/>
        </w:rPr>
      </w:pPr>
      <w:r w:rsidRPr="0081286B">
        <w:rPr>
          <w:b/>
          <w:sz w:val="36"/>
          <w:szCs w:val="36"/>
        </w:rPr>
        <w:t>2019</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2019</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二〇二〇年一月二十一日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846C23" w:rsidRDefault="00DC54AC">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846C23" w:rsidRDefault="00DC54AC">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2020</w:t>
      </w:r>
      <w:r>
        <w:rPr>
          <w:color w:val="000000"/>
          <w:sz w:val="24"/>
          <w:szCs w:val="24"/>
        </w:rPr>
        <w:t>年</w:t>
      </w:r>
      <w:r>
        <w:rPr>
          <w:color w:val="000000"/>
          <w:sz w:val="24"/>
          <w:szCs w:val="24"/>
        </w:rPr>
        <w:t>1</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846C23" w:rsidRDefault="00DC54AC">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846C23" w:rsidRDefault="00DC54AC">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846C23" w:rsidRDefault="00DC54AC">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2019</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交银消费新驱动股票</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519714</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519714</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519715</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2015</w:t>
            </w:r>
            <w:r w:rsidRPr="00414345">
              <w:rPr>
                <w:color w:val="000000"/>
                <w:kern w:val="0"/>
                <w:sz w:val="24"/>
                <w:szCs w:val="24"/>
              </w:rPr>
              <w:t>年</w:t>
            </w:r>
            <w:r w:rsidRPr="00414345">
              <w:rPr>
                <w:color w:val="000000"/>
                <w:kern w:val="0"/>
                <w:sz w:val="24"/>
                <w:szCs w:val="24"/>
              </w:rPr>
              <w:t>7</w:t>
            </w:r>
            <w:r w:rsidRPr="00414345">
              <w:rPr>
                <w:color w:val="000000"/>
                <w:kern w:val="0"/>
                <w:sz w:val="24"/>
                <w:szCs w:val="24"/>
              </w:rPr>
              <w:t>月</w:t>
            </w:r>
            <w:r w:rsidRPr="00414345">
              <w:rPr>
                <w:color w:val="000000"/>
                <w:kern w:val="0"/>
                <w:sz w:val="24"/>
                <w:szCs w:val="24"/>
              </w:rPr>
              <w:t>1</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376,796,550.17</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本基金通过重点投资于与消费服务相关的优质企业，把握经济转型背景下中国消费升级蕴含的投资机会，在控制风险并保持基金资产良好的流动性的前提下，力争实现基金资产的长期稳定增值。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研究优势，将严谨、规范化的选股方法与积极主动的投资风格相结合，在经济转型大背景下，深入研究消费服务行业的发展趋势，积极挖掘不同子行业和子行业景气度新变化下的个股投资机会，通过团队对个股深入的基本面研究和细致的实地调研，精选个股，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85%×</w:t>
            </w:r>
            <w:r w:rsidRPr="00414345">
              <w:rPr>
                <w:color w:val="000000"/>
                <w:kern w:val="0"/>
                <w:sz w:val="24"/>
                <w:szCs w:val="24"/>
              </w:rPr>
              <w:t>中证内地消费主题指数</w:t>
            </w:r>
            <w:r w:rsidRPr="00414345">
              <w:rPr>
                <w:color w:val="000000"/>
                <w:kern w:val="0"/>
                <w:sz w:val="24"/>
                <w:szCs w:val="24"/>
              </w:rPr>
              <w:t>+15%×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本基金是一只股票型基金，其预期风险与预期收益高</w:t>
            </w:r>
            <w:r w:rsidRPr="00414345">
              <w:rPr>
                <w:color w:val="000000"/>
                <w:kern w:val="0"/>
                <w:sz w:val="24"/>
                <w:szCs w:val="24"/>
              </w:rPr>
              <w:lastRenderedPageBreak/>
              <w:t>于混合型基金、债券型基金和货币市场基金，属于承担较高预期风险、预期收益较高的证券投资基金品种。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046336" w:rsidRPr="00414345" w:rsidTr="00046336">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(2019</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-2019</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046336" w:rsidRPr="00414345" w:rsidTr="0004633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26,809,108.55</w:t>
            </w:r>
          </w:p>
        </w:tc>
      </w:tr>
      <w:tr w:rsidR="00046336" w:rsidRPr="00414345" w:rsidTr="0004633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22,449,098.95</w:t>
            </w:r>
          </w:p>
        </w:tc>
      </w:tr>
      <w:tr w:rsidR="00046336" w:rsidRPr="00414345" w:rsidTr="0004633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0.0286</w:t>
            </w:r>
          </w:p>
        </w:tc>
      </w:tr>
      <w:tr w:rsidR="00046336" w:rsidRPr="00414345" w:rsidTr="0004633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372,259,248.08</w:t>
            </w:r>
          </w:p>
        </w:tc>
      </w:tr>
      <w:tr w:rsidR="00046336" w:rsidRPr="00414345" w:rsidTr="00046336">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0.988</w:t>
            </w:r>
          </w:p>
        </w:tc>
      </w:tr>
    </w:tbl>
    <w:p w:rsidR="00846C23" w:rsidRDefault="00DC54AC">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846C23">
        <w:trPr>
          <w:jc w:val="center"/>
        </w:trPr>
        <w:tc>
          <w:tcPr>
            <w:tcW w:w="1701" w:type="dxa"/>
            <w:vAlign w:val="center"/>
          </w:tcPr>
          <w:p w:rsidR="00846C23" w:rsidRDefault="00DC54AC">
            <w:pPr>
              <w:jc w:val="left"/>
            </w:pPr>
            <w:r>
              <w:rPr>
                <w:color w:val="000000"/>
                <w:sz w:val="24"/>
                <w:szCs w:val="24"/>
              </w:rPr>
              <w:t>过去三个月</w:t>
            </w:r>
          </w:p>
        </w:tc>
        <w:tc>
          <w:tcPr>
            <w:tcW w:w="1045" w:type="dxa"/>
            <w:vAlign w:val="center"/>
          </w:tcPr>
          <w:p w:rsidR="00846C23" w:rsidRDefault="00DC54AC">
            <w:pPr>
              <w:jc w:val="center"/>
            </w:pPr>
            <w:r>
              <w:rPr>
                <w:color w:val="000000"/>
                <w:sz w:val="24"/>
                <w:szCs w:val="24"/>
              </w:rPr>
              <w:t>3.86%</w:t>
            </w:r>
          </w:p>
        </w:tc>
        <w:tc>
          <w:tcPr>
            <w:tcW w:w="1344" w:type="dxa"/>
            <w:vAlign w:val="center"/>
          </w:tcPr>
          <w:p w:rsidR="00846C23" w:rsidRDefault="00DC54AC">
            <w:pPr>
              <w:jc w:val="center"/>
            </w:pPr>
            <w:r>
              <w:rPr>
                <w:color w:val="000000"/>
                <w:sz w:val="24"/>
                <w:szCs w:val="24"/>
              </w:rPr>
              <w:t>0.80%</w:t>
            </w:r>
          </w:p>
        </w:tc>
        <w:tc>
          <w:tcPr>
            <w:tcW w:w="1194" w:type="dxa"/>
            <w:vAlign w:val="center"/>
          </w:tcPr>
          <w:p w:rsidR="00846C23" w:rsidRDefault="00DC54AC">
            <w:pPr>
              <w:jc w:val="center"/>
            </w:pPr>
            <w:r>
              <w:rPr>
                <w:color w:val="000000"/>
                <w:sz w:val="24"/>
                <w:szCs w:val="24"/>
              </w:rPr>
              <w:t>6.08%</w:t>
            </w:r>
          </w:p>
        </w:tc>
        <w:tc>
          <w:tcPr>
            <w:tcW w:w="1492" w:type="dxa"/>
            <w:vAlign w:val="center"/>
          </w:tcPr>
          <w:p w:rsidR="00846C23" w:rsidRDefault="00DC54AC">
            <w:pPr>
              <w:jc w:val="center"/>
            </w:pPr>
            <w:r>
              <w:rPr>
                <w:color w:val="000000"/>
                <w:sz w:val="24"/>
                <w:szCs w:val="24"/>
              </w:rPr>
              <w:t>0.72%</w:t>
            </w:r>
          </w:p>
        </w:tc>
        <w:tc>
          <w:tcPr>
            <w:tcW w:w="1194" w:type="dxa"/>
            <w:vAlign w:val="center"/>
          </w:tcPr>
          <w:p w:rsidR="00846C23" w:rsidRDefault="00DC54AC">
            <w:pPr>
              <w:jc w:val="center"/>
            </w:pPr>
            <w:r>
              <w:rPr>
                <w:color w:val="000000"/>
                <w:sz w:val="24"/>
                <w:szCs w:val="24"/>
              </w:rPr>
              <w:t>-2.22%</w:t>
            </w:r>
          </w:p>
        </w:tc>
        <w:tc>
          <w:tcPr>
            <w:tcW w:w="898" w:type="dxa"/>
            <w:vAlign w:val="center"/>
          </w:tcPr>
          <w:p w:rsidR="00846C23" w:rsidRDefault="00DC54AC">
            <w:pPr>
              <w:jc w:val="center"/>
            </w:pPr>
            <w:r>
              <w:rPr>
                <w:color w:val="000000"/>
                <w:sz w:val="24"/>
                <w:szCs w:val="24"/>
              </w:rPr>
              <w:t>0.08%</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“85%×</w:t>
      </w:r>
      <w:r w:rsidRPr="00414345">
        <w:rPr>
          <w:color w:val="000000"/>
          <w:sz w:val="24"/>
          <w:szCs w:val="24"/>
        </w:rPr>
        <w:t>中证内地消费主题指数</w:t>
      </w:r>
      <w:r w:rsidRPr="00414345">
        <w:rPr>
          <w:color w:val="000000"/>
          <w:sz w:val="24"/>
          <w:szCs w:val="24"/>
        </w:rPr>
        <w:t>+15%×</w:t>
      </w:r>
      <w:r w:rsidRPr="00414345">
        <w:rPr>
          <w:color w:val="000000"/>
          <w:sz w:val="24"/>
          <w:szCs w:val="24"/>
        </w:rPr>
        <w:t>中信标普全债指数</w:t>
      </w:r>
      <w:r w:rsidRPr="00414345">
        <w:rPr>
          <w:color w:val="000000"/>
          <w:sz w:val="24"/>
          <w:szCs w:val="24"/>
        </w:rPr>
        <w:t>”</w:t>
      </w:r>
      <w:r w:rsidRPr="00414345">
        <w:rPr>
          <w:color w:val="000000"/>
          <w:sz w:val="24"/>
          <w:szCs w:val="24"/>
        </w:rPr>
        <w:t>变更为</w:t>
      </w:r>
      <w:r w:rsidRPr="00414345">
        <w:rPr>
          <w:color w:val="000000"/>
          <w:sz w:val="24"/>
          <w:szCs w:val="24"/>
        </w:rPr>
        <w:t>“85%×</w:t>
      </w:r>
      <w:r w:rsidRPr="00414345">
        <w:rPr>
          <w:color w:val="000000"/>
          <w:sz w:val="24"/>
          <w:szCs w:val="24"/>
        </w:rPr>
        <w:t>中证内地消费主题指数</w:t>
      </w:r>
      <w:r w:rsidRPr="00414345">
        <w:rPr>
          <w:color w:val="000000"/>
          <w:sz w:val="24"/>
          <w:szCs w:val="24"/>
        </w:rPr>
        <w:t>+15%×</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自基金转型以来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w:t>
      </w:r>
      <w:r w:rsidR="00C6002A" w:rsidRPr="00414345">
        <w:rPr>
          <w:b/>
          <w:bCs/>
          <w:color w:val="000000"/>
          <w:sz w:val="24"/>
        </w:rPr>
        <w:lastRenderedPageBreak/>
        <w:t>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交银施罗德消费新驱动股票型证券投资基金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2015</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7</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2019</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注：本基金由交银施罗德沪深</w:t>
      </w:r>
      <w:r w:rsidRPr="00414345">
        <w:rPr>
          <w:color w:val="000000"/>
          <w:sz w:val="24"/>
          <w:szCs w:val="24"/>
        </w:rPr>
        <w:t>300</w:t>
      </w:r>
      <w:r w:rsidRPr="00414345">
        <w:rPr>
          <w:color w:val="000000"/>
          <w:sz w:val="24"/>
          <w:szCs w:val="24"/>
        </w:rPr>
        <w:t>行业分层等权重指数证券投资基金转型而来。基金转型日为</w:t>
      </w:r>
      <w:r w:rsidRPr="00414345">
        <w:rPr>
          <w:color w:val="000000"/>
          <w:sz w:val="24"/>
          <w:szCs w:val="24"/>
        </w:rPr>
        <w:t>2015</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日。本基金的投资转型期为交银施罗德沪深</w:t>
      </w:r>
      <w:r w:rsidRPr="00414345">
        <w:rPr>
          <w:color w:val="000000"/>
          <w:sz w:val="24"/>
          <w:szCs w:val="24"/>
        </w:rPr>
        <w:t>300</w:t>
      </w:r>
      <w:r w:rsidRPr="00414345">
        <w:rPr>
          <w:color w:val="000000"/>
          <w:sz w:val="24"/>
          <w:szCs w:val="24"/>
        </w:rPr>
        <w:t>行业分层等权重指数证券投资基金转型实施日（即</w:t>
      </w:r>
      <w:r w:rsidRPr="00414345">
        <w:rPr>
          <w:color w:val="000000"/>
          <w:sz w:val="24"/>
          <w:szCs w:val="24"/>
        </w:rPr>
        <w:t>2015</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日）起的</w:t>
      </w:r>
      <w:r w:rsidRPr="00414345">
        <w:rPr>
          <w:color w:val="000000"/>
          <w:sz w:val="24"/>
          <w:szCs w:val="24"/>
        </w:rPr>
        <w:t>6</w:t>
      </w:r>
      <w:r w:rsidRPr="00414345">
        <w:rPr>
          <w:color w:val="000000"/>
          <w:sz w:val="24"/>
          <w:szCs w:val="24"/>
        </w:rPr>
        <w:t>个月。截至投资转型期结束，本基金各项资产配置比例符合基金合同及招募说明书有关投资比例的约定。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846C23">
        <w:trPr>
          <w:jc w:val="center"/>
        </w:trPr>
        <w:tc>
          <w:tcPr>
            <w:tcW w:w="846" w:type="dxa"/>
            <w:vAlign w:val="center"/>
          </w:tcPr>
          <w:p w:rsidR="00846C23" w:rsidRDefault="00DC54AC">
            <w:pPr>
              <w:jc w:val="center"/>
            </w:pPr>
            <w:r>
              <w:rPr>
                <w:color w:val="000000"/>
                <w:sz w:val="24"/>
                <w:szCs w:val="24"/>
              </w:rPr>
              <w:t>韩威俊</w:t>
            </w:r>
          </w:p>
        </w:tc>
        <w:tc>
          <w:tcPr>
            <w:tcW w:w="845" w:type="dxa"/>
            <w:vAlign w:val="center"/>
          </w:tcPr>
          <w:p w:rsidR="00846C23" w:rsidRDefault="00DC54AC">
            <w:pPr>
              <w:jc w:val="center"/>
            </w:pPr>
            <w:r>
              <w:rPr>
                <w:color w:val="000000"/>
                <w:sz w:val="24"/>
                <w:szCs w:val="24"/>
              </w:rPr>
              <w:t>交银趋势混合、交银策略回报灵活</w:t>
            </w:r>
            <w:r>
              <w:rPr>
                <w:color w:val="000000"/>
                <w:sz w:val="24"/>
                <w:szCs w:val="24"/>
              </w:rPr>
              <w:lastRenderedPageBreak/>
              <w:t>配置混合、交银消费新驱动股票、交银股息优化混合、交银品质升级混合的基金经理</w:t>
            </w:r>
          </w:p>
        </w:tc>
        <w:tc>
          <w:tcPr>
            <w:tcW w:w="1549" w:type="dxa"/>
            <w:vAlign w:val="center"/>
          </w:tcPr>
          <w:p w:rsidR="00846C23" w:rsidRDefault="00DC54AC">
            <w:pPr>
              <w:jc w:val="center"/>
            </w:pPr>
            <w:r>
              <w:rPr>
                <w:color w:val="000000"/>
                <w:sz w:val="24"/>
                <w:szCs w:val="24"/>
              </w:rPr>
              <w:lastRenderedPageBreak/>
              <w:t>2018-08-24</w:t>
            </w:r>
          </w:p>
        </w:tc>
        <w:tc>
          <w:tcPr>
            <w:tcW w:w="1548" w:type="dxa"/>
            <w:vAlign w:val="center"/>
          </w:tcPr>
          <w:p w:rsidR="00846C23" w:rsidRDefault="00DC54AC">
            <w:pPr>
              <w:jc w:val="center"/>
            </w:pPr>
            <w:r>
              <w:rPr>
                <w:color w:val="000000"/>
                <w:sz w:val="24"/>
                <w:szCs w:val="24"/>
              </w:rPr>
              <w:t>-</w:t>
            </w:r>
          </w:p>
        </w:tc>
        <w:tc>
          <w:tcPr>
            <w:tcW w:w="1407" w:type="dxa"/>
            <w:vAlign w:val="center"/>
          </w:tcPr>
          <w:p w:rsidR="00846C23" w:rsidRDefault="00DC54AC">
            <w:pPr>
              <w:jc w:val="center"/>
            </w:pPr>
            <w:r>
              <w:rPr>
                <w:color w:val="000000"/>
                <w:sz w:val="24"/>
                <w:szCs w:val="24"/>
              </w:rPr>
              <w:t>13</w:t>
            </w:r>
            <w:r>
              <w:rPr>
                <w:color w:val="000000"/>
                <w:sz w:val="24"/>
                <w:szCs w:val="24"/>
              </w:rPr>
              <w:t>年</w:t>
            </w:r>
          </w:p>
        </w:tc>
        <w:tc>
          <w:tcPr>
            <w:tcW w:w="2673" w:type="dxa"/>
            <w:vAlign w:val="center"/>
          </w:tcPr>
          <w:p w:rsidR="00846C23" w:rsidRDefault="00DC54AC">
            <w:r>
              <w:rPr>
                <w:color w:val="000000"/>
                <w:sz w:val="24"/>
                <w:szCs w:val="24"/>
              </w:rPr>
              <w:t>韩威俊先生，上海财经大学金融学硕士。历任申银万国证券研究所助理分析师、北京鼎天资产管理有限公司董事助理、申银万国证券研究所行业分析师、信诚基</w:t>
            </w:r>
            <w:r>
              <w:rPr>
                <w:color w:val="000000"/>
                <w:sz w:val="24"/>
                <w:szCs w:val="24"/>
              </w:rPr>
              <w:lastRenderedPageBreak/>
              <w:t>金管理有限公司投资分析师。</w:t>
            </w:r>
            <w:r>
              <w:rPr>
                <w:color w:val="000000"/>
                <w:sz w:val="24"/>
                <w:szCs w:val="24"/>
              </w:rPr>
              <w:t>2013</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846C23" w:rsidRDefault="00DC54AC">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846C23" w:rsidRDefault="00DC54AC">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846C23" w:rsidRDefault="00DC54AC">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w:t>
      </w:r>
      <w:r>
        <w:rPr>
          <w:color w:val="000000"/>
          <w:sz w:val="24"/>
          <w:szCs w:val="24"/>
        </w:rPr>
        <w:t>管理的不同投资组合的整体收益率差异、分投资类别的收益率差异以及不同时间窗口同向交易的交易价差进行分析，</w:t>
      </w:r>
      <w:r>
        <w:rPr>
          <w:color w:val="000000"/>
          <w:sz w:val="24"/>
          <w:szCs w:val="24"/>
        </w:rPr>
        <w:lastRenderedPageBreak/>
        <w:t>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846C23" w:rsidRDefault="00DC54AC">
      <w:pPr>
        <w:spacing w:before="29" w:line="288" w:lineRule="auto"/>
        <w:ind w:firstLineChars="200" w:firstLine="480"/>
        <w:rPr>
          <w:color w:val="000000"/>
          <w:sz w:val="24"/>
          <w:szCs w:val="24"/>
        </w:rPr>
      </w:pPr>
      <w:r>
        <w:rPr>
          <w:color w:val="000000"/>
          <w:sz w:val="24"/>
          <w:szCs w:val="24"/>
        </w:rPr>
        <w:t>回顾</w:t>
      </w:r>
      <w:r>
        <w:rPr>
          <w:color w:val="000000"/>
          <w:sz w:val="24"/>
          <w:szCs w:val="24"/>
        </w:rPr>
        <w:t>2019</w:t>
      </w:r>
      <w:r>
        <w:rPr>
          <w:color w:val="000000"/>
          <w:sz w:val="24"/>
          <w:szCs w:val="24"/>
        </w:rPr>
        <w:t>年四季度，中美贸易战暂已告一段落，也没有出现更为严峻的趋势。利率市场化以后，整个长端利率水平开始出现下行趋势，市场风险偏好明显提升。随着中国市场逐步纳入</w:t>
      </w:r>
      <w:r>
        <w:rPr>
          <w:color w:val="000000"/>
          <w:sz w:val="24"/>
          <w:szCs w:val="24"/>
        </w:rPr>
        <w:t>MSCI</w:t>
      </w:r>
      <w:r>
        <w:rPr>
          <w:color w:val="000000"/>
          <w:sz w:val="24"/>
          <w:szCs w:val="24"/>
        </w:rPr>
        <w:t>，外资整体占比快速提升，国内股票市场的定价方法和估值水平受到了较大的影响，后续的变化也是国内投资者更为重视的环节。</w:t>
      </w:r>
      <w:r>
        <w:rPr>
          <w:color w:val="000000"/>
          <w:sz w:val="24"/>
          <w:szCs w:val="24"/>
        </w:rPr>
        <w:t>2019</w:t>
      </w:r>
      <w:r>
        <w:rPr>
          <w:color w:val="000000"/>
          <w:sz w:val="24"/>
          <w:szCs w:val="24"/>
        </w:rPr>
        <w:t>年</w:t>
      </w:r>
      <w:r>
        <w:rPr>
          <w:color w:val="000000"/>
          <w:sz w:val="24"/>
          <w:szCs w:val="24"/>
        </w:rPr>
        <w:t>12</w:t>
      </w:r>
      <w:r>
        <w:rPr>
          <w:color w:val="000000"/>
          <w:sz w:val="24"/>
          <w:szCs w:val="24"/>
        </w:rPr>
        <w:t>月以来，金融创新逐渐加大，对冲机制、注册制以及国有企业股权改革等相关创新手段的逐步完善，海外价值投资和对冲基金还将进一步增加中国资产的投资。</w:t>
      </w:r>
    </w:p>
    <w:p w:rsidR="00846C23" w:rsidRDefault="00DC54AC">
      <w:pPr>
        <w:spacing w:before="29" w:line="288" w:lineRule="auto"/>
        <w:ind w:firstLineChars="200" w:firstLine="480"/>
        <w:rPr>
          <w:color w:val="000000"/>
          <w:sz w:val="24"/>
          <w:szCs w:val="24"/>
        </w:rPr>
      </w:pPr>
      <w:r>
        <w:rPr>
          <w:color w:val="000000"/>
          <w:sz w:val="24"/>
          <w:szCs w:val="24"/>
        </w:rPr>
        <w:t>本基金在</w:t>
      </w:r>
      <w:r>
        <w:rPr>
          <w:color w:val="000000"/>
          <w:sz w:val="24"/>
          <w:szCs w:val="24"/>
        </w:rPr>
        <w:t>2019</w:t>
      </w:r>
      <w:r>
        <w:rPr>
          <w:color w:val="000000"/>
          <w:sz w:val="24"/>
          <w:szCs w:val="24"/>
        </w:rPr>
        <w:t>年四季度主要以消费白马龙头作为底仓的配置思路，个股集中</w:t>
      </w:r>
      <w:r>
        <w:rPr>
          <w:color w:val="000000"/>
          <w:sz w:val="24"/>
          <w:szCs w:val="24"/>
        </w:rPr>
        <w:t>度依然维持在较高水平。重仓股做了适当的调整，增持了啤酒、医药创新和地产行业的相关个股，获得一定绝对收益，但相对收益不明显。</w:t>
      </w:r>
    </w:p>
    <w:p w:rsidR="00846C23" w:rsidRDefault="00DC54AC">
      <w:pPr>
        <w:spacing w:before="29" w:line="288" w:lineRule="auto"/>
        <w:ind w:firstLineChars="200" w:firstLine="480"/>
        <w:rPr>
          <w:color w:val="000000"/>
          <w:sz w:val="24"/>
          <w:szCs w:val="24"/>
        </w:rPr>
      </w:pPr>
      <w:r>
        <w:rPr>
          <w:color w:val="000000"/>
          <w:sz w:val="24"/>
          <w:szCs w:val="24"/>
        </w:rPr>
        <w:t>展望</w:t>
      </w:r>
      <w:r>
        <w:rPr>
          <w:color w:val="000000"/>
          <w:sz w:val="24"/>
          <w:szCs w:val="24"/>
        </w:rPr>
        <w:t>2020</w:t>
      </w:r>
      <w:r>
        <w:rPr>
          <w:color w:val="000000"/>
          <w:sz w:val="24"/>
          <w:szCs w:val="24"/>
        </w:rPr>
        <w:t>年一季度，随着长端利率进一步下行，外资配置比例提高，整个市场的流动性会继续改善，未来市场或将进入稳定的长期上涨周期。但是，由于宏观经济增速放缓，各个行业的增速也出现比较明显的放缓，个股基本面分化会更加明显，市场波动率会进一步加大。整个市场风险目前已上升到较高水平，同时部分行业和公司在</w:t>
      </w:r>
      <w:r>
        <w:rPr>
          <w:color w:val="000000"/>
          <w:sz w:val="24"/>
          <w:szCs w:val="24"/>
        </w:rPr>
        <w:t>2019</w:t>
      </w:r>
      <w:r>
        <w:rPr>
          <w:color w:val="000000"/>
          <w:sz w:val="24"/>
          <w:szCs w:val="24"/>
        </w:rPr>
        <w:t>年估值水平上升比较明显，我们将关注一季度整体高估值行业的风险。</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本基金在</w:t>
      </w:r>
      <w:r w:rsidRPr="00414345">
        <w:rPr>
          <w:color w:val="000000"/>
          <w:sz w:val="24"/>
          <w:szCs w:val="24"/>
        </w:rPr>
        <w:t>2020</w:t>
      </w:r>
      <w:r w:rsidRPr="00414345">
        <w:rPr>
          <w:color w:val="000000"/>
          <w:sz w:val="24"/>
          <w:szCs w:val="24"/>
        </w:rPr>
        <w:t>年一季度将保持消费白马和地产作为底仓的配置思路，择机适度增加银行、地产以及医药的配置比例。</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lastRenderedPageBreak/>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351,586,484.73</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55.48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351,586,484.73</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55.48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202,401,121.17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31.94</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79,774,432.87</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12.59</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633,762,038.77</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297,573,511.53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79.94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lastRenderedPageBreak/>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6,412,394.00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39,137,281.88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10.51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589,683.32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0.16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7,873,614.00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351,586,484.73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94.45</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846C23">
        <w:trPr>
          <w:jc w:val="center"/>
        </w:trPr>
        <w:tc>
          <w:tcPr>
            <w:tcW w:w="855" w:type="dxa"/>
            <w:vAlign w:val="center"/>
          </w:tcPr>
          <w:p w:rsidR="00846C23" w:rsidRDefault="00DC54AC">
            <w:pPr>
              <w:jc w:val="center"/>
            </w:pPr>
            <w:r>
              <w:rPr>
                <w:color w:val="000000"/>
                <w:sz w:val="24"/>
                <w:szCs w:val="24"/>
              </w:rPr>
              <w:t>1</w:t>
            </w:r>
          </w:p>
        </w:tc>
        <w:tc>
          <w:tcPr>
            <w:tcW w:w="1334" w:type="dxa"/>
            <w:vAlign w:val="center"/>
          </w:tcPr>
          <w:p w:rsidR="00846C23" w:rsidRDefault="00DC54AC">
            <w:pPr>
              <w:jc w:val="center"/>
            </w:pPr>
            <w:r>
              <w:rPr>
                <w:color w:val="000000"/>
                <w:sz w:val="24"/>
                <w:szCs w:val="24"/>
              </w:rPr>
              <w:t>603369</w:t>
            </w:r>
          </w:p>
        </w:tc>
        <w:tc>
          <w:tcPr>
            <w:tcW w:w="1777" w:type="dxa"/>
            <w:vAlign w:val="center"/>
          </w:tcPr>
          <w:p w:rsidR="00846C23" w:rsidRDefault="00DC54AC">
            <w:pPr>
              <w:jc w:val="center"/>
            </w:pPr>
            <w:r>
              <w:rPr>
                <w:color w:val="000000"/>
                <w:sz w:val="24"/>
                <w:szCs w:val="24"/>
              </w:rPr>
              <w:t>今世缘</w:t>
            </w:r>
          </w:p>
        </w:tc>
        <w:tc>
          <w:tcPr>
            <w:tcW w:w="1334" w:type="dxa"/>
            <w:vAlign w:val="center"/>
          </w:tcPr>
          <w:p w:rsidR="00846C23" w:rsidRDefault="00DC54AC">
            <w:pPr>
              <w:jc w:val="right"/>
            </w:pPr>
            <w:r>
              <w:rPr>
                <w:color w:val="000000"/>
                <w:sz w:val="24"/>
                <w:szCs w:val="24"/>
              </w:rPr>
              <w:t>982,492</w:t>
            </w:r>
          </w:p>
        </w:tc>
        <w:tc>
          <w:tcPr>
            <w:tcW w:w="1924" w:type="dxa"/>
            <w:vAlign w:val="center"/>
          </w:tcPr>
          <w:p w:rsidR="00846C23" w:rsidRDefault="00DC54AC">
            <w:pPr>
              <w:jc w:val="right"/>
            </w:pPr>
            <w:r>
              <w:rPr>
                <w:color w:val="000000"/>
                <w:sz w:val="24"/>
                <w:szCs w:val="24"/>
              </w:rPr>
              <w:t>32,147,138.24</w:t>
            </w:r>
          </w:p>
        </w:tc>
        <w:tc>
          <w:tcPr>
            <w:tcW w:w="1644" w:type="dxa"/>
            <w:vAlign w:val="center"/>
          </w:tcPr>
          <w:p w:rsidR="00846C23" w:rsidRDefault="00DC54AC">
            <w:pPr>
              <w:jc w:val="right"/>
            </w:pPr>
            <w:r>
              <w:rPr>
                <w:color w:val="000000"/>
                <w:sz w:val="24"/>
                <w:szCs w:val="24"/>
              </w:rPr>
              <w:t>8.64</w:t>
            </w:r>
          </w:p>
        </w:tc>
      </w:tr>
      <w:tr w:rsidR="00846C23">
        <w:trPr>
          <w:jc w:val="center"/>
        </w:trPr>
        <w:tc>
          <w:tcPr>
            <w:tcW w:w="855" w:type="dxa"/>
            <w:vAlign w:val="center"/>
          </w:tcPr>
          <w:p w:rsidR="00846C23" w:rsidRDefault="00DC54AC">
            <w:pPr>
              <w:jc w:val="center"/>
            </w:pPr>
            <w:r>
              <w:rPr>
                <w:color w:val="000000"/>
                <w:sz w:val="24"/>
                <w:szCs w:val="24"/>
              </w:rPr>
              <w:t>2</w:t>
            </w:r>
          </w:p>
        </w:tc>
        <w:tc>
          <w:tcPr>
            <w:tcW w:w="1334" w:type="dxa"/>
            <w:vAlign w:val="center"/>
          </w:tcPr>
          <w:p w:rsidR="00846C23" w:rsidRDefault="00DC54AC">
            <w:pPr>
              <w:jc w:val="center"/>
            </w:pPr>
            <w:r>
              <w:rPr>
                <w:color w:val="000000"/>
                <w:sz w:val="24"/>
                <w:szCs w:val="24"/>
              </w:rPr>
              <w:t>600519</w:t>
            </w:r>
          </w:p>
        </w:tc>
        <w:tc>
          <w:tcPr>
            <w:tcW w:w="1777" w:type="dxa"/>
            <w:vAlign w:val="center"/>
          </w:tcPr>
          <w:p w:rsidR="00846C23" w:rsidRDefault="00DC54AC">
            <w:pPr>
              <w:jc w:val="center"/>
            </w:pPr>
            <w:r>
              <w:rPr>
                <w:color w:val="000000"/>
                <w:sz w:val="24"/>
                <w:szCs w:val="24"/>
              </w:rPr>
              <w:t>贵州茅台</w:t>
            </w:r>
          </w:p>
        </w:tc>
        <w:tc>
          <w:tcPr>
            <w:tcW w:w="1334" w:type="dxa"/>
            <w:vAlign w:val="center"/>
          </w:tcPr>
          <w:p w:rsidR="00846C23" w:rsidRDefault="00DC54AC">
            <w:pPr>
              <w:jc w:val="right"/>
            </w:pPr>
            <w:r>
              <w:rPr>
                <w:color w:val="000000"/>
                <w:sz w:val="24"/>
                <w:szCs w:val="24"/>
              </w:rPr>
              <w:t>26,870</w:t>
            </w:r>
          </w:p>
        </w:tc>
        <w:tc>
          <w:tcPr>
            <w:tcW w:w="1924" w:type="dxa"/>
            <w:vAlign w:val="center"/>
          </w:tcPr>
          <w:p w:rsidR="00846C23" w:rsidRDefault="00DC54AC">
            <w:pPr>
              <w:jc w:val="right"/>
            </w:pPr>
            <w:r>
              <w:rPr>
                <w:color w:val="000000"/>
                <w:sz w:val="24"/>
                <w:szCs w:val="24"/>
              </w:rPr>
              <w:t>31,787,210.00</w:t>
            </w:r>
          </w:p>
        </w:tc>
        <w:tc>
          <w:tcPr>
            <w:tcW w:w="1644" w:type="dxa"/>
            <w:vAlign w:val="center"/>
          </w:tcPr>
          <w:p w:rsidR="00846C23" w:rsidRDefault="00DC54AC">
            <w:pPr>
              <w:jc w:val="right"/>
            </w:pPr>
            <w:r>
              <w:rPr>
                <w:color w:val="000000"/>
                <w:sz w:val="24"/>
                <w:szCs w:val="24"/>
              </w:rPr>
              <w:t>8.54</w:t>
            </w:r>
          </w:p>
        </w:tc>
      </w:tr>
      <w:tr w:rsidR="00846C23">
        <w:trPr>
          <w:jc w:val="center"/>
        </w:trPr>
        <w:tc>
          <w:tcPr>
            <w:tcW w:w="855" w:type="dxa"/>
            <w:vAlign w:val="center"/>
          </w:tcPr>
          <w:p w:rsidR="00846C23" w:rsidRDefault="00DC54AC">
            <w:pPr>
              <w:jc w:val="center"/>
            </w:pPr>
            <w:r>
              <w:rPr>
                <w:color w:val="000000"/>
                <w:sz w:val="24"/>
                <w:szCs w:val="24"/>
              </w:rPr>
              <w:t>3</w:t>
            </w:r>
          </w:p>
        </w:tc>
        <w:tc>
          <w:tcPr>
            <w:tcW w:w="1334" w:type="dxa"/>
            <w:vAlign w:val="center"/>
          </w:tcPr>
          <w:p w:rsidR="00846C23" w:rsidRDefault="00DC54AC">
            <w:pPr>
              <w:jc w:val="center"/>
            </w:pPr>
            <w:r>
              <w:rPr>
                <w:color w:val="000000"/>
                <w:sz w:val="24"/>
                <w:szCs w:val="24"/>
              </w:rPr>
              <w:t>300146</w:t>
            </w:r>
          </w:p>
        </w:tc>
        <w:tc>
          <w:tcPr>
            <w:tcW w:w="1777" w:type="dxa"/>
            <w:vAlign w:val="center"/>
          </w:tcPr>
          <w:p w:rsidR="00846C23" w:rsidRDefault="00DC54AC">
            <w:pPr>
              <w:jc w:val="center"/>
            </w:pPr>
            <w:r>
              <w:rPr>
                <w:color w:val="000000"/>
                <w:sz w:val="24"/>
                <w:szCs w:val="24"/>
              </w:rPr>
              <w:t>汤臣倍健</w:t>
            </w:r>
          </w:p>
        </w:tc>
        <w:tc>
          <w:tcPr>
            <w:tcW w:w="1334" w:type="dxa"/>
            <w:vAlign w:val="center"/>
          </w:tcPr>
          <w:p w:rsidR="00846C23" w:rsidRDefault="00DC54AC">
            <w:pPr>
              <w:jc w:val="right"/>
            </w:pPr>
            <w:r>
              <w:rPr>
                <w:color w:val="000000"/>
                <w:sz w:val="24"/>
                <w:szCs w:val="24"/>
              </w:rPr>
              <w:t>1,937,048</w:t>
            </w:r>
          </w:p>
        </w:tc>
        <w:tc>
          <w:tcPr>
            <w:tcW w:w="1924" w:type="dxa"/>
            <w:vAlign w:val="center"/>
          </w:tcPr>
          <w:p w:rsidR="00846C23" w:rsidRDefault="00DC54AC">
            <w:pPr>
              <w:jc w:val="right"/>
            </w:pPr>
            <w:r>
              <w:rPr>
                <w:color w:val="000000"/>
                <w:sz w:val="24"/>
                <w:szCs w:val="24"/>
              </w:rPr>
              <w:t>31,554,511.92</w:t>
            </w:r>
          </w:p>
        </w:tc>
        <w:tc>
          <w:tcPr>
            <w:tcW w:w="1644" w:type="dxa"/>
            <w:vAlign w:val="center"/>
          </w:tcPr>
          <w:p w:rsidR="00846C23" w:rsidRDefault="00DC54AC">
            <w:pPr>
              <w:jc w:val="right"/>
            </w:pPr>
            <w:r>
              <w:rPr>
                <w:color w:val="000000"/>
                <w:sz w:val="24"/>
                <w:szCs w:val="24"/>
              </w:rPr>
              <w:t>8.48</w:t>
            </w:r>
          </w:p>
        </w:tc>
      </w:tr>
      <w:tr w:rsidR="00846C23">
        <w:trPr>
          <w:jc w:val="center"/>
        </w:trPr>
        <w:tc>
          <w:tcPr>
            <w:tcW w:w="855" w:type="dxa"/>
            <w:vAlign w:val="center"/>
          </w:tcPr>
          <w:p w:rsidR="00846C23" w:rsidRDefault="00DC54AC">
            <w:pPr>
              <w:jc w:val="center"/>
            </w:pPr>
            <w:r>
              <w:rPr>
                <w:color w:val="000000"/>
                <w:sz w:val="24"/>
                <w:szCs w:val="24"/>
              </w:rPr>
              <w:t>4</w:t>
            </w:r>
          </w:p>
        </w:tc>
        <w:tc>
          <w:tcPr>
            <w:tcW w:w="1334" w:type="dxa"/>
            <w:vAlign w:val="center"/>
          </w:tcPr>
          <w:p w:rsidR="00846C23" w:rsidRDefault="00DC54AC">
            <w:pPr>
              <w:jc w:val="center"/>
            </w:pPr>
            <w:r>
              <w:rPr>
                <w:color w:val="000000"/>
                <w:sz w:val="24"/>
                <w:szCs w:val="24"/>
              </w:rPr>
              <w:t>600132</w:t>
            </w:r>
          </w:p>
        </w:tc>
        <w:tc>
          <w:tcPr>
            <w:tcW w:w="1777" w:type="dxa"/>
            <w:vAlign w:val="center"/>
          </w:tcPr>
          <w:p w:rsidR="00846C23" w:rsidRDefault="00DC54AC">
            <w:pPr>
              <w:jc w:val="center"/>
            </w:pPr>
            <w:r>
              <w:rPr>
                <w:color w:val="000000"/>
                <w:sz w:val="24"/>
                <w:szCs w:val="24"/>
              </w:rPr>
              <w:t>重庆啤酒</w:t>
            </w:r>
          </w:p>
        </w:tc>
        <w:tc>
          <w:tcPr>
            <w:tcW w:w="1334" w:type="dxa"/>
            <w:vAlign w:val="center"/>
          </w:tcPr>
          <w:p w:rsidR="00846C23" w:rsidRDefault="00DC54AC">
            <w:pPr>
              <w:jc w:val="right"/>
            </w:pPr>
            <w:r>
              <w:rPr>
                <w:color w:val="000000"/>
                <w:sz w:val="24"/>
                <w:szCs w:val="24"/>
              </w:rPr>
              <w:t>602,899</w:t>
            </w:r>
          </w:p>
        </w:tc>
        <w:tc>
          <w:tcPr>
            <w:tcW w:w="1924" w:type="dxa"/>
            <w:vAlign w:val="center"/>
          </w:tcPr>
          <w:p w:rsidR="00846C23" w:rsidRDefault="00DC54AC">
            <w:pPr>
              <w:jc w:val="right"/>
            </w:pPr>
            <w:r>
              <w:rPr>
                <w:color w:val="000000"/>
                <w:sz w:val="24"/>
                <w:szCs w:val="24"/>
              </w:rPr>
              <w:t>31,326,632.04</w:t>
            </w:r>
          </w:p>
        </w:tc>
        <w:tc>
          <w:tcPr>
            <w:tcW w:w="1644" w:type="dxa"/>
            <w:vAlign w:val="center"/>
          </w:tcPr>
          <w:p w:rsidR="00846C23" w:rsidRDefault="00DC54AC">
            <w:pPr>
              <w:jc w:val="right"/>
            </w:pPr>
            <w:r>
              <w:rPr>
                <w:color w:val="000000"/>
                <w:sz w:val="24"/>
                <w:szCs w:val="24"/>
              </w:rPr>
              <w:t>8.42</w:t>
            </w:r>
          </w:p>
        </w:tc>
      </w:tr>
      <w:tr w:rsidR="00846C23">
        <w:trPr>
          <w:jc w:val="center"/>
        </w:trPr>
        <w:tc>
          <w:tcPr>
            <w:tcW w:w="855" w:type="dxa"/>
            <w:vAlign w:val="center"/>
          </w:tcPr>
          <w:p w:rsidR="00846C23" w:rsidRDefault="00DC54AC">
            <w:pPr>
              <w:jc w:val="center"/>
            </w:pPr>
            <w:r>
              <w:rPr>
                <w:color w:val="000000"/>
                <w:sz w:val="24"/>
                <w:szCs w:val="24"/>
              </w:rPr>
              <w:t>5</w:t>
            </w:r>
          </w:p>
        </w:tc>
        <w:tc>
          <w:tcPr>
            <w:tcW w:w="1334" w:type="dxa"/>
            <w:vAlign w:val="center"/>
          </w:tcPr>
          <w:p w:rsidR="00846C23" w:rsidRDefault="00DC54AC">
            <w:pPr>
              <w:jc w:val="center"/>
            </w:pPr>
            <w:r>
              <w:rPr>
                <w:color w:val="000000"/>
                <w:sz w:val="24"/>
                <w:szCs w:val="24"/>
              </w:rPr>
              <w:t>000858</w:t>
            </w:r>
          </w:p>
        </w:tc>
        <w:tc>
          <w:tcPr>
            <w:tcW w:w="1777" w:type="dxa"/>
            <w:vAlign w:val="center"/>
          </w:tcPr>
          <w:p w:rsidR="00846C23" w:rsidRDefault="00DC54AC">
            <w:pPr>
              <w:jc w:val="center"/>
            </w:pPr>
            <w:r>
              <w:rPr>
                <w:color w:val="000000"/>
                <w:sz w:val="24"/>
                <w:szCs w:val="24"/>
              </w:rPr>
              <w:t>五粮液</w:t>
            </w:r>
          </w:p>
        </w:tc>
        <w:tc>
          <w:tcPr>
            <w:tcW w:w="1334" w:type="dxa"/>
            <w:vAlign w:val="center"/>
          </w:tcPr>
          <w:p w:rsidR="00846C23" w:rsidRDefault="00DC54AC">
            <w:pPr>
              <w:jc w:val="right"/>
            </w:pPr>
            <w:r>
              <w:rPr>
                <w:color w:val="000000"/>
                <w:sz w:val="24"/>
                <w:szCs w:val="24"/>
              </w:rPr>
              <w:t>232,594</w:t>
            </w:r>
          </w:p>
        </w:tc>
        <w:tc>
          <w:tcPr>
            <w:tcW w:w="1924" w:type="dxa"/>
            <w:vAlign w:val="center"/>
          </w:tcPr>
          <w:p w:rsidR="00846C23" w:rsidRDefault="00DC54AC">
            <w:pPr>
              <w:jc w:val="right"/>
            </w:pPr>
            <w:r>
              <w:rPr>
                <w:color w:val="000000"/>
                <w:sz w:val="24"/>
                <w:szCs w:val="24"/>
              </w:rPr>
              <w:t>30,937,327.94</w:t>
            </w:r>
          </w:p>
        </w:tc>
        <w:tc>
          <w:tcPr>
            <w:tcW w:w="1644" w:type="dxa"/>
            <w:vAlign w:val="center"/>
          </w:tcPr>
          <w:p w:rsidR="00846C23" w:rsidRDefault="00DC54AC">
            <w:pPr>
              <w:jc w:val="right"/>
            </w:pPr>
            <w:r>
              <w:rPr>
                <w:color w:val="000000"/>
                <w:sz w:val="24"/>
                <w:szCs w:val="24"/>
              </w:rPr>
              <w:t>8.31</w:t>
            </w:r>
          </w:p>
        </w:tc>
      </w:tr>
      <w:tr w:rsidR="00846C23">
        <w:trPr>
          <w:jc w:val="center"/>
        </w:trPr>
        <w:tc>
          <w:tcPr>
            <w:tcW w:w="855" w:type="dxa"/>
            <w:vAlign w:val="center"/>
          </w:tcPr>
          <w:p w:rsidR="00846C23" w:rsidRDefault="00DC54AC">
            <w:pPr>
              <w:jc w:val="center"/>
            </w:pPr>
            <w:r>
              <w:rPr>
                <w:color w:val="000000"/>
                <w:sz w:val="24"/>
                <w:szCs w:val="24"/>
              </w:rPr>
              <w:t>6</w:t>
            </w:r>
          </w:p>
        </w:tc>
        <w:tc>
          <w:tcPr>
            <w:tcW w:w="1334" w:type="dxa"/>
            <w:vAlign w:val="center"/>
          </w:tcPr>
          <w:p w:rsidR="00846C23" w:rsidRDefault="00DC54AC">
            <w:pPr>
              <w:jc w:val="center"/>
            </w:pPr>
            <w:r>
              <w:rPr>
                <w:color w:val="000000"/>
                <w:sz w:val="24"/>
                <w:szCs w:val="24"/>
              </w:rPr>
              <w:t>002461</w:t>
            </w:r>
          </w:p>
        </w:tc>
        <w:tc>
          <w:tcPr>
            <w:tcW w:w="1777" w:type="dxa"/>
            <w:vAlign w:val="center"/>
          </w:tcPr>
          <w:p w:rsidR="00846C23" w:rsidRDefault="00DC54AC">
            <w:pPr>
              <w:jc w:val="center"/>
            </w:pPr>
            <w:r>
              <w:rPr>
                <w:color w:val="000000"/>
                <w:sz w:val="24"/>
                <w:szCs w:val="24"/>
              </w:rPr>
              <w:t>珠江啤酒</w:t>
            </w:r>
          </w:p>
        </w:tc>
        <w:tc>
          <w:tcPr>
            <w:tcW w:w="1334" w:type="dxa"/>
            <w:vAlign w:val="center"/>
          </w:tcPr>
          <w:p w:rsidR="00846C23" w:rsidRDefault="00DC54AC">
            <w:pPr>
              <w:jc w:val="right"/>
            </w:pPr>
            <w:r>
              <w:rPr>
                <w:color w:val="000000"/>
                <w:sz w:val="24"/>
                <w:szCs w:val="24"/>
              </w:rPr>
              <w:t>3,705,203</w:t>
            </w:r>
          </w:p>
        </w:tc>
        <w:tc>
          <w:tcPr>
            <w:tcW w:w="1924" w:type="dxa"/>
            <w:vAlign w:val="center"/>
          </w:tcPr>
          <w:p w:rsidR="00846C23" w:rsidRDefault="00DC54AC">
            <w:pPr>
              <w:jc w:val="right"/>
            </w:pPr>
            <w:r>
              <w:rPr>
                <w:color w:val="000000"/>
                <w:sz w:val="24"/>
                <w:szCs w:val="24"/>
              </w:rPr>
              <w:t>26,455,149.42</w:t>
            </w:r>
          </w:p>
        </w:tc>
        <w:tc>
          <w:tcPr>
            <w:tcW w:w="1644" w:type="dxa"/>
            <w:vAlign w:val="center"/>
          </w:tcPr>
          <w:p w:rsidR="00846C23" w:rsidRDefault="00DC54AC">
            <w:pPr>
              <w:jc w:val="right"/>
            </w:pPr>
            <w:r>
              <w:rPr>
                <w:color w:val="000000"/>
                <w:sz w:val="24"/>
                <w:szCs w:val="24"/>
              </w:rPr>
              <w:t>7.11</w:t>
            </w:r>
          </w:p>
        </w:tc>
      </w:tr>
      <w:tr w:rsidR="00846C23">
        <w:trPr>
          <w:jc w:val="center"/>
        </w:trPr>
        <w:tc>
          <w:tcPr>
            <w:tcW w:w="855" w:type="dxa"/>
            <w:vAlign w:val="center"/>
          </w:tcPr>
          <w:p w:rsidR="00846C23" w:rsidRDefault="00DC54AC">
            <w:pPr>
              <w:jc w:val="center"/>
            </w:pPr>
            <w:r>
              <w:rPr>
                <w:color w:val="000000"/>
                <w:sz w:val="24"/>
                <w:szCs w:val="24"/>
              </w:rPr>
              <w:lastRenderedPageBreak/>
              <w:t>7</w:t>
            </w:r>
          </w:p>
        </w:tc>
        <w:tc>
          <w:tcPr>
            <w:tcW w:w="1334" w:type="dxa"/>
            <w:vAlign w:val="center"/>
          </w:tcPr>
          <w:p w:rsidR="00846C23" w:rsidRDefault="00DC54AC">
            <w:pPr>
              <w:jc w:val="center"/>
            </w:pPr>
            <w:r>
              <w:rPr>
                <w:color w:val="000000"/>
                <w:sz w:val="24"/>
                <w:szCs w:val="24"/>
              </w:rPr>
              <w:t>000651</w:t>
            </w:r>
          </w:p>
        </w:tc>
        <w:tc>
          <w:tcPr>
            <w:tcW w:w="1777" w:type="dxa"/>
            <w:vAlign w:val="center"/>
          </w:tcPr>
          <w:p w:rsidR="00846C23" w:rsidRDefault="00DC54AC">
            <w:pPr>
              <w:jc w:val="center"/>
            </w:pPr>
            <w:r>
              <w:rPr>
                <w:color w:val="000000"/>
                <w:sz w:val="24"/>
                <w:szCs w:val="24"/>
              </w:rPr>
              <w:t>格力电器</w:t>
            </w:r>
          </w:p>
        </w:tc>
        <w:tc>
          <w:tcPr>
            <w:tcW w:w="1334" w:type="dxa"/>
            <w:vAlign w:val="center"/>
          </w:tcPr>
          <w:p w:rsidR="00846C23" w:rsidRDefault="00DC54AC">
            <w:pPr>
              <w:jc w:val="right"/>
            </w:pPr>
            <w:r>
              <w:rPr>
                <w:color w:val="000000"/>
                <w:sz w:val="24"/>
                <w:szCs w:val="24"/>
              </w:rPr>
              <w:t>324,763</w:t>
            </w:r>
          </w:p>
        </w:tc>
        <w:tc>
          <w:tcPr>
            <w:tcW w:w="1924" w:type="dxa"/>
            <w:vAlign w:val="center"/>
          </w:tcPr>
          <w:p w:rsidR="00846C23" w:rsidRDefault="00DC54AC">
            <w:pPr>
              <w:jc w:val="right"/>
            </w:pPr>
            <w:r>
              <w:rPr>
                <w:color w:val="000000"/>
                <w:sz w:val="24"/>
                <w:szCs w:val="24"/>
              </w:rPr>
              <w:t>21,297,957.54</w:t>
            </w:r>
          </w:p>
        </w:tc>
        <w:tc>
          <w:tcPr>
            <w:tcW w:w="1644" w:type="dxa"/>
            <w:vAlign w:val="center"/>
          </w:tcPr>
          <w:p w:rsidR="00846C23" w:rsidRDefault="00DC54AC">
            <w:pPr>
              <w:jc w:val="right"/>
            </w:pPr>
            <w:r>
              <w:rPr>
                <w:color w:val="000000"/>
                <w:sz w:val="24"/>
                <w:szCs w:val="24"/>
              </w:rPr>
              <w:t>5.72</w:t>
            </w:r>
          </w:p>
        </w:tc>
      </w:tr>
      <w:tr w:rsidR="00846C23">
        <w:trPr>
          <w:jc w:val="center"/>
        </w:trPr>
        <w:tc>
          <w:tcPr>
            <w:tcW w:w="855" w:type="dxa"/>
            <w:vAlign w:val="center"/>
          </w:tcPr>
          <w:p w:rsidR="00846C23" w:rsidRDefault="00DC54AC">
            <w:pPr>
              <w:jc w:val="center"/>
            </w:pPr>
            <w:r>
              <w:rPr>
                <w:color w:val="000000"/>
                <w:sz w:val="24"/>
                <w:szCs w:val="24"/>
              </w:rPr>
              <w:t>8</w:t>
            </w:r>
          </w:p>
        </w:tc>
        <w:tc>
          <w:tcPr>
            <w:tcW w:w="1334" w:type="dxa"/>
            <w:vAlign w:val="center"/>
          </w:tcPr>
          <w:p w:rsidR="00846C23" w:rsidRDefault="00DC54AC">
            <w:pPr>
              <w:jc w:val="center"/>
            </w:pPr>
            <w:r>
              <w:rPr>
                <w:color w:val="000000"/>
                <w:sz w:val="24"/>
                <w:szCs w:val="24"/>
              </w:rPr>
              <w:t>600600</w:t>
            </w:r>
          </w:p>
        </w:tc>
        <w:tc>
          <w:tcPr>
            <w:tcW w:w="1777" w:type="dxa"/>
            <w:vAlign w:val="center"/>
          </w:tcPr>
          <w:p w:rsidR="00846C23" w:rsidRDefault="00DC54AC">
            <w:pPr>
              <w:jc w:val="center"/>
            </w:pPr>
            <w:r>
              <w:rPr>
                <w:color w:val="000000"/>
                <w:sz w:val="24"/>
                <w:szCs w:val="24"/>
              </w:rPr>
              <w:t>青岛啤酒</w:t>
            </w:r>
          </w:p>
        </w:tc>
        <w:tc>
          <w:tcPr>
            <w:tcW w:w="1334" w:type="dxa"/>
            <w:vAlign w:val="center"/>
          </w:tcPr>
          <w:p w:rsidR="00846C23" w:rsidRDefault="00DC54AC">
            <w:pPr>
              <w:jc w:val="right"/>
            </w:pPr>
            <w:r>
              <w:rPr>
                <w:color w:val="000000"/>
                <w:sz w:val="24"/>
                <w:szCs w:val="24"/>
              </w:rPr>
              <w:t>415,429</w:t>
            </w:r>
          </w:p>
        </w:tc>
        <w:tc>
          <w:tcPr>
            <w:tcW w:w="1924" w:type="dxa"/>
            <w:vAlign w:val="center"/>
          </w:tcPr>
          <w:p w:rsidR="00846C23" w:rsidRDefault="00DC54AC">
            <w:pPr>
              <w:jc w:val="right"/>
            </w:pPr>
            <w:r>
              <w:rPr>
                <w:color w:val="000000"/>
                <w:sz w:val="24"/>
                <w:szCs w:val="24"/>
              </w:rPr>
              <w:t>21,186,879.00</w:t>
            </w:r>
          </w:p>
        </w:tc>
        <w:tc>
          <w:tcPr>
            <w:tcW w:w="1644" w:type="dxa"/>
            <w:vAlign w:val="center"/>
          </w:tcPr>
          <w:p w:rsidR="00846C23" w:rsidRDefault="00DC54AC">
            <w:pPr>
              <w:jc w:val="right"/>
            </w:pPr>
            <w:r>
              <w:rPr>
                <w:color w:val="000000"/>
                <w:sz w:val="24"/>
                <w:szCs w:val="24"/>
              </w:rPr>
              <w:t>5.69</w:t>
            </w:r>
          </w:p>
        </w:tc>
      </w:tr>
      <w:tr w:rsidR="00846C23">
        <w:trPr>
          <w:jc w:val="center"/>
        </w:trPr>
        <w:tc>
          <w:tcPr>
            <w:tcW w:w="855" w:type="dxa"/>
            <w:vAlign w:val="center"/>
          </w:tcPr>
          <w:p w:rsidR="00846C23" w:rsidRDefault="00DC54AC">
            <w:pPr>
              <w:jc w:val="center"/>
            </w:pPr>
            <w:r>
              <w:rPr>
                <w:color w:val="000000"/>
                <w:sz w:val="24"/>
                <w:szCs w:val="24"/>
              </w:rPr>
              <w:t>9</w:t>
            </w:r>
          </w:p>
        </w:tc>
        <w:tc>
          <w:tcPr>
            <w:tcW w:w="1334" w:type="dxa"/>
            <w:vAlign w:val="center"/>
          </w:tcPr>
          <w:p w:rsidR="00846C23" w:rsidRDefault="00DC54AC">
            <w:pPr>
              <w:jc w:val="center"/>
            </w:pPr>
            <w:r>
              <w:rPr>
                <w:color w:val="000000"/>
                <w:sz w:val="24"/>
                <w:szCs w:val="24"/>
              </w:rPr>
              <w:t>600887</w:t>
            </w:r>
          </w:p>
        </w:tc>
        <w:tc>
          <w:tcPr>
            <w:tcW w:w="1777" w:type="dxa"/>
            <w:vAlign w:val="center"/>
          </w:tcPr>
          <w:p w:rsidR="00846C23" w:rsidRDefault="00DC54AC">
            <w:pPr>
              <w:jc w:val="center"/>
            </w:pPr>
            <w:r>
              <w:rPr>
                <w:color w:val="000000"/>
                <w:sz w:val="24"/>
                <w:szCs w:val="24"/>
              </w:rPr>
              <w:t>伊利股份</w:t>
            </w:r>
          </w:p>
        </w:tc>
        <w:tc>
          <w:tcPr>
            <w:tcW w:w="1334" w:type="dxa"/>
            <w:vAlign w:val="center"/>
          </w:tcPr>
          <w:p w:rsidR="00846C23" w:rsidRDefault="00DC54AC">
            <w:pPr>
              <w:jc w:val="right"/>
            </w:pPr>
            <w:r>
              <w:rPr>
                <w:color w:val="000000"/>
                <w:sz w:val="24"/>
                <w:szCs w:val="24"/>
              </w:rPr>
              <w:t>684,109</w:t>
            </w:r>
          </w:p>
        </w:tc>
        <w:tc>
          <w:tcPr>
            <w:tcW w:w="1924" w:type="dxa"/>
            <w:vAlign w:val="center"/>
          </w:tcPr>
          <w:p w:rsidR="00846C23" w:rsidRDefault="00DC54AC">
            <w:pPr>
              <w:jc w:val="right"/>
            </w:pPr>
            <w:r>
              <w:rPr>
                <w:color w:val="000000"/>
                <w:sz w:val="24"/>
                <w:szCs w:val="24"/>
              </w:rPr>
              <w:t>21,166,332.46</w:t>
            </w:r>
          </w:p>
        </w:tc>
        <w:tc>
          <w:tcPr>
            <w:tcW w:w="1644" w:type="dxa"/>
            <w:vAlign w:val="center"/>
          </w:tcPr>
          <w:p w:rsidR="00846C23" w:rsidRDefault="00DC54AC">
            <w:pPr>
              <w:jc w:val="right"/>
            </w:pPr>
            <w:r>
              <w:rPr>
                <w:color w:val="000000"/>
                <w:sz w:val="24"/>
                <w:szCs w:val="24"/>
              </w:rPr>
              <w:t>5.69</w:t>
            </w:r>
          </w:p>
        </w:tc>
      </w:tr>
      <w:tr w:rsidR="00846C23">
        <w:trPr>
          <w:jc w:val="center"/>
        </w:trPr>
        <w:tc>
          <w:tcPr>
            <w:tcW w:w="855" w:type="dxa"/>
            <w:vAlign w:val="center"/>
          </w:tcPr>
          <w:p w:rsidR="00846C23" w:rsidRDefault="00DC54AC">
            <w:pPr>
              <w:jc w:val="center"/>
            </w:pPr>
            <w:r>
              <w:rPr>
                <w:color w:val="000000"/>
                <w:sz w:val="24"/>
                <w:szCs w:val="24"/>
              </w:rPr>
              <w:t>10</w:t>
            </w:r>
          </w:p>
        </w:tc>
        <w:tc>
          <w:tcPr>
            <w:tcW w:w="1334" w:type="dxa"/>
            <w:vAlign w:val="center"/>
          </w:tcPr>
          <w:p w:rsidR="00846C23" w:rsidRDefault="00DC54AC">
            <w:pPr>
              <w:jc w:val="center"/>
            </w:pPr>
            <w:r>
              <w:rPr>
                <w:color w:val="000000"/>
                <w:sz w:val="24"/>
                <w:szCs w:val="24"/>
              </w:rPr>
              <w:t>600529</w:t>
            </w:r>
          </w:p>
        </w:tc>
        <w:tc>
          <w:tcPr>
            <w:tcW w:w="1777" w:type="dxa"/>
            <w:vAlign w:val="center"/>
          </w:tcPr>
          <w:p w:rsidR="00846C23" w:rsidRDefault="00DC54AC">
            <w:pPr>
              <w:jc w:val="center"/>
            </w:pPr>
            <w:r>
              <w:rPr>
                <w:color w:val="000000"/>
                <w:sz w:val="24"/>
                <w:szCs w:val="24"/>
              </w:rPr>
              <w:t>山东药玻</w:t>
            </w:r>
          </w:p>
        </w:tc>
        <w:tc>
          <w:tcPr>
            <w:tcW w:w="1334" w:type="dxa"/>
            <w:vAlign w:val="center"/>
          </w:tcPr>
          <w:p w:rsidR="00846C23" w:rsidRDefault="00DC54AC">
            <w:pPr>
              <w:jc w:val="right"/>
            </w:pPr>
            <w:r>
              <w:rPr>
                <w:color w:val="000000"/>
                <w:sz w:val="24"/>
                <w:szCs w:val="24"/>
              </w:rPr>
              <w:t>649,061</w:t>
            </w:r>
          </w:p>
        </w:tc>
        <w:tc>
          <w:tcPr>
            <w:tcW w:w="1924" w:type="dxa"/>
            <w:vAlign w:val="center"/>
          </w:tcPr>
          <w:p w:rsidR="00846C23" w:rsidRDefault="00DC54AC">
            <w:pPr>
              <w:jc w:val="right"/>
            </w:pPr>
            <w:r>
              <w:rPr>
                <w:color w:val="000000"/>
                <w:sz w:val="24"/>
                <w:szCs w:val="24"/>
              </w:rPr>
              <w:t>17,940,046.04</w:t>
            </w:r>
          </w:p>
        </w:tc>
        <w:tc>
          <w:tcPr>
            <w:tcW w:w="1644" w:type="dxa"/>
            <w:vAlign w:val="center"/>
          </w:tcPr>
          <w:p w:rsidR="00846C23" w:rsidRDefault="00DC54AC">
            <w:pPr>
              <w:jc w:val="right"/>
            </w:pPr>
            <w:r>
              <w:rPr>
                <w:color w:val="000000"/>
                <w:sz w:val="24"/>
                <w:szCs w:val="24"/>
              </w:rPr>
              <w:t>4.82</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405,306.51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78,366,478.42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19,228.31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983,419.63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79,774,432.87</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733,945,152.71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190,213,183.08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547,361,785.62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376,796,550.17</w:t>
            </w:r>
          </w:p>
        </w:tc>
      </w:tr>
    </w:tbl>
    <w:p w:rsidR="00846C23" w:rsidRDefault="00DC54AC">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w:t>
      </w: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ED2620" w:rsidRPr="00ED2620" w:rsidRDefault="00ED2620" w:rsidP="00C15CAC">
      <w:pPr>
        <w:autoSpaceDE w:val="0"/>
        <w:autoSpaceDN w:val="0"/>
        <w:adjustRightInd w:val="0"/>
        <w:spacing w:before="29" w:line="288" w:lineRule="auto"/>
        <w:ind w:left="15"/>
        <w:jc w:val="right"/>
        <w:rPr>
          <w:rFonts w:eastAsiaTheme="minorEastAsia"/>
          <w:color w:val="000000"/>
          <w:kern w:val="0"/>
          <w:sz w:val="24"/>
        </w:rPr>
      </w:pPr>
      <w:r w:rsidRPr="00ED2620">
        <w:rPr>
          <w:rFonts w:eastAsiaTheme="minorEastAsia" w:hAnsiTheme="minorEastAsia"/>
          <w:color w:val="000000"/>
          <w:kern w:val="0"/>
          <w:sz w:val="24"/>
        </w:rPr>
        <w:t>单位：份</w:t>
      </w:r>
    </w:p>
    <w:tbl>
      <w:tblPr>
        <w:tblW w:w="8868" w:type="dxa"/>
        <w:jc w:val="center"/>
        <w:tblLayout w:type="fixed"/>
        <w:tblLook w:val="04A0" w:firstRow="1" w:lastRow="0" w:firstColumn="1" w:lastColumn="0" w:noHBand="0" w:noVBand="1"/>
      </w:tblPr>
      <w:tblGrid>
        <w:gridCol w:w="5308"/>
        <w:gridCol w:w="3560"/>
      </w:tblGrid>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pStyle w:val="ad"/>
              <w:adjustRightInd w:val="0"/>
              <w:snapToGrid w:val="0"/>
              <w:spacing w:line="288" w:lineRule="auto"/>
              <w:rPr>
                <w:rFonts w:eastAsia="方正仿宋简体"/>
                <w:color w:val="000000"/>
              </w:rPr>
            </w:pPr>
            <w:r w:rsidRPr="00ED2620">
              <w:rPr>
                <w:color w:val="000000"/>
              </w:rPr>
              <w:lastRenderedPageBreak/>
              <w:t>报告期期初管理人持有的本基金份额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sz w:val="24"/>
                <w:szCs w:val="24"/>
              </w:rPr>
            </w:pPr>
            <w:r w:rsidRPr="00ED2620">
              <w:rPr>
                <w:rFonts w:eastAsiaTheme="minorEastAsia"/>
                <w:color w:val="000000"/>
                <w:sz w:val="24"/>
              </w:rPr>
              <w:t>17,233,116.25</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买入</w:t>
            </w:r>
            <w:r w:rsidRPr="00ED2620">
              <w:rPr>
                <w:color w:val="000000"/>
                <w:sz w:val="24"/>
              </w:rPr>
              <w:t>/</w:t>
            </w:r>
            <w:r w:rsidRPr="00ED2620">
              <w:rPr>
                <w:color w:val="000000"/>
                <w:sz w:val="24"/>
              </w:rPr>
              <w:t>申购总份额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892,907.58</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卖出</w:t>
            </w:r>
            <w:r w:rsidRPr="00ED2620">
              <w:rPr>
                <w:color w:val="000000"/>
                <w:sz w:val="24"/>
              </w:rPr>
              <w:t>/</w:t>
            </w:r>
            <w:r w:rsidRPr="00ED2620">
              <w:rPr>
                <w:color w:val="000000"/>
                <w:sz w:val="24"/>
              </w:rPr>
              <w:t>赎回总份额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sz w:val="24"/>
                <w:szCs w:val="24"/>
              </w:rPr>
            </w:pPr>
            <w:r w:rsidRPr="00ED2620">
              <w:rPr>
                <w:rFonts w:eastAsiaTheme="minorEastAsia"/>
                <w:color w:val="000000"/>
                <w:sz w:val="24"/>
              </w:rPr>
              <w:t>18,126,023.83</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报告期期末持有的本基金份额占基金总份额比例（</w:t>
            </w:r>
            <w:r w:rsidRPr="00ED2620">
              <w:rPr>
                <w:color w:val="000000"/>
                <w:sz w:val="24"/>
              </w:rPr>
              <w:t>%</w:t>
            </w:r>
            <w:r w:rsidRPr="00ED2620">
              <w:rPr>
                <w:color w:val="000000"/>
                <w:sz w:val="24"/>
              </w:rPr>
              <w:t>）</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4.81</w:t>
            </w:r>
          </w:p>
        </w:tc>
      </w:tr>
    </w:tbl>
    <w:p w:rsidR="00846C23" w:rsidRDefault="00DC54AC">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2</w:t>
      </w:r>
      <w:r w:rsidRPr="00ED2620">
        <w:rPr>
          <w:rFonts w:eastAsiaTheme="minorEastAsia"/>
          <w:color w:val="000000"/>
          <w:sz w:val="24"/>
        </w:rPr>
        <w:t>、如果本报告期间发生转换出业务，则总赎回份额中包含该业务。</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1032"/>
        <w:gridCol w:w="1776"/>
        <w:gridCol w:w="1317"/>
        <w:gridCol w:w="1633"/>
        <w:gridCol w:w="1767"/>
        <w:gridCol w:w="1343"/>
      </w:tblGrid>
      <w:tr w:rsidR="00320300" w:rsidRPr="00414345" w:rsidTr="00627EDE">
        <w:trPr>
          <w:trHeight w:val="340"/>
          <w:jc w:val="center"/>
        </w:trPr>
        <w:tc>
          <w:tcPr>
            <w:tcW w:w="1070" w:type="dxa"/>
            <w:vAlign w:val="center"/>
          </w:tcPr>
          <w:p w:rsidR="00320300" w:rsidRPr="00414345" w:rsidRDefault="00320300" w:rsidP="00C15CAC">
            <w:pPr>
              <w:pStyle w:val="ad"/>
              <w:adjustRightInd w:val="0"/>
              <w:snapToGrid w:val="0"/>
              <w:spacing w:before="29" w:line="288" w:lineRule="auto"/>
              <w:jc w:val="center"/>
              <w:rPr>
                <w:color w:val="000000"/>
                <w:kern w:val="0"/>
              </w:rPr>
            </w:pPr>
            <w:r w:rsidRPr="00414345">
              <w:rPr>
                <w:color w:val="000000"/>
                <w:kern w:val="0"/>
              </w:rPr>
              <w:t>序号</w:t>
            </w:r>
          </w:p>
        </w:tc>
        <w:tc>
          <w:tcPr>
            <w:tcW w:w="1851" w:type="dxa"/>
            <w:vAlign w:val="center"/>
          </w:tcPr>
          <w:p w:rsidR="00320300" w:rsidRPr="00414345" w:rsidRDefault="00320300" w:rsidP="00C15CAC">
            <w:pPr>
              <w:adjustRightInd w:val="0"/>
              <w:snapToGrid w:val="0"/>
              <w:spacing w:before="29" w:line="288" w:lineRule="auto"/>
              <w:jc w:val="center"/>
              <w:rPr>
                <w:color w:val="000000"/>
                <w:kern w:val="0"/>
                <w:sz w:val="24"/>
              </w:rPr>
            </w:pPr>
            <w:r w:rsidRPr="00414345">
              <w:rPr>
                <w:color w:val="000000"/>
                <w:kern w:val="0"/>
                <w:sz w:val="24"/>
              </w:rPr>
              <w:t>交易方式</w:t>
            </w:r>
          </w:p>
        </w:tc>
        <w:tc>
          <w:tcPr>
            <w:tcW w:w="1370" w:type="dxa"/>
            <w:vAlign w:val="center"/>
          </w:tcPr>
          <w:p w:rsidR="00320300" w:rsidRPr="00414345" w:rsidRDefault="00320300" w:rsidP="00C15CAC">
            <w:pPr>
              <w:adjustRightInd w:val="0"/>
              <w:snapToGrid w:val="0"/>
              <w:spacing w:before="29" w:line="288" w:lineRule="auto"/>
              <w:rPr>
                <w:color w:val="000000"/>
                <w:kern w:val="0"/>
                <w:sz w:val="24"/>
              </w:rPr>
            </w:pPr>
            <w:r w:rsidRPr="00414345">
              <w:rPr>
                <w:color w:val="000000"/>
                <w:kern w:val="0"/>
                <w:sz w:val="24"/>
              </w:rPr>
              <w:t>交易日期</w:t>
            </w:r>
          </w:p>
        </w:tc>
        <w:tc>
          <w:tcPr>
            <w:tcW w:w="1701" w:type="dxa"/>
            <w:vAlign w:val="center"/>
          </w:tcPr>
          <w:p w:rsidR="00320300" w:rsidRPr="00414345" w:rsidRDefault="00320300" w:rsidP="00C15CAC">
            <w:pPr>
              <w:adjustRightInd w:val="0"/>
              <w:snapToGrid w:val="0"/>
              <w:spacing w:before="29" w:line="288" w:lineRule="auto"/>
              <w:jc w:val="center"/>
              <w:rPr>
                <w:color w:val="000000"/>
                <w:kern w:val="0"/>
                <w:sz w:val="24"/>
              </w:rPr>
            </w:pPr>
            <w:r w:rsidRPr="00414345">
              <w:rPr>
                <w:color w:val="000000"/>
                <w:kern w:val="0"/>
                <w:sz w:val="24"/>
              </w:rPr>
              <w:t>交易份额（份）</w:t>
            </w:r>
          </w:p>
        </w:tc>
        <w:tc>
          <w:tcPr>
            <w:tcW w:w="1842" w:type="dxa"/>
            <w:vAlign w:val="center"/>
          </w:tcPr>
          <w:p w:rsidR="00320300" w:rsidRPr="00414345" w:rsidRDefault="00320300" w:rsidP="00C15CAC">
            <w:pPr>
              <w:adjustRightInd w:val="0"/>
              <w:snapToGrid w:val="0"/>
              <w:spacing w:before="29" w:line="288" w:lineRule="auto"/>
              <w:jc w:val="center"/>
              <w:rPr>
                <w:color w:val="000000"/>
                <w:kern w:val="0"/>
                <w:sz w:val="24"/>
              </w:rPr>
            </w:pPr>
            <w:r w:rsidRPr="00414345">
              <w:rPr>
                <w:color w:val="000000"/>
                <w:kern w:val="0"/>
                <w:sz w:val="24"/>
              </w:rPr>
              <w:t>交易金额（元）</w:t>
            </w:r>
          </w:p>
        </w:tc>
        <w:tc>
          <w:tcPr>
            <w:tcW w:w="1397" w:type="dxa"/>
            <w:vAlign w:val="center"/>
          </w:tcPr>
          <w:p w:rsidR="00320300" w:rsidRPr="00414345" w:rsidRDefault="00320300" w:rsidP="00C15CAC">
            <w:pPr>
              <w:adjustRightInd w:val="0"/>
              <w:snapToGrid w:val="0"/>
              <w:spacing w:before="29" w:line="288" w:lineRule="auto"/>
              <w:jc w:val="center"/>
              <w:rPr>
                <w:color w:val="000000"/>
                <w:kern w:val="0"/>
                <w:sz w:val="24"/>
              </w:rPr>
            </w:pPr>
            <w:r w:rsidRPr="00414345">
              <w:rPr>
                <w:color w:val="000000"/>
                <w:kern w:val="0"/>
                <w:sz w:val="24"/>
              </w:rPr>
              <w:t>适用费率</w:t>
            </w:r>
          </w:p>
        </w:tc>
      </w:tr>
      <w:tr w:rsidR="00846C23">
        <w:trPr>
          <w:jc w:val="center"/>
        </w:trPr>
        <w:tc>
          <w:tcPr>
            <w:tcW w:w="1032" w:type="dxa"/>
            <w:vAlign w:val="center"/>
          </w:tcPr>
          <w:p w:rsidR="00846C23" w:rsidRDefault="00046336">
            <w:pPr>
              <w:jc w:val="center"/>
            </w:pPr>
            <w:r>
              <w:rPr>
                <w:color w:val="000000"/>
                <w:sz w:val="24"/>
              </w:rPr>
              <w:t>1</w:t>
            </w:r>
            <w:bookmarkStart w:id="0" w:name="_GoBack"/>
            <w:bookmarkEnd w:id="0"/>
          </w:p>
        </w:tc>
        <w:tc>
          <w:tcPr>
            <w:tcW w:w="1776" w:type="dxa"/>
            <w:vAlign w:val="center"/>
          </w:tcPr>
          <w:p w:rsidR="00846C23" w:rsidRDefault="00DC54AC">
            <w:pPr>
              <w:jc w:val="center"/>
            </w:pPr>
            <w:r>
              <w:rPr>
                <w:color w:val="000000"/>
                <w:sz w:val="24"/>
              </w:rPr>
              <w:t>红利再投</w:t>
            </w:r>
          </w:p>
        </w:tc>
        <w:tc>
          <w:tcPr>
            <w:tcW w:w="1317" w:type="dxa"/>
            <w:vAlign w:val="center"/>
          </w:tcPr>
          <w:p w:rsidR="00846C23" w:rsidRDefault="00DC54AC">
            <w:pPr>
              <w:jc w:val="center"/>
            </w:pPr>
            <w:r>
              <w:rPr>
                <w:color w:val="000000"/>
                <w:sz w:val="24"/>
              </w:rPr>
              <w:t>2019-11-14</w:t>
            </w:r>
          </w:p>
        </w:tc>
        <w:tc>
          <w:tcPr>
            <w:tcW w:w="1633" w:type="dxa"/>
            <w:vAlign w:val="center"/>
          </w:tcPr>
          <w:p w:rsidR="00846C23" w:rsidRDefault="00DC54AC">
            <w:pPr>
              <w:jc w:val="right"/>
            </w:pPr>
            <w:r>
              <w:rPr>
                <w:color w:val="000000"/>
                <w:sz w:val="24"/>
              </w:rPr>
              <w:t>892,907.58</w:t>
            </w:r>
          </w:p>
        </w:tc>
        <w:tc>
          <w:tcPr>
            <w:tcW w:w="1767" w:type="dxa"/>
            <w:vAlign w:val="center"/>
          </w:tcPr>
          <w:p w:rsidR="00846C23" w:rsidRDefault="00DC54AC">
            <w:pPr>
              <w:jc w:val="right"/>
            </w:pPr>
            <w:r>
              <w:rPr>
                <w:color w:val="000000"/>
                <w:sz w:val="24"/>
              </w:rPr>
              <w:t>861,655.81</w:t>
            </w:r>
          </w:p>
        </w:tc>
        <w:tc>
          <w:tcPr>
            <w:tcW w:w="1343" w:type="dxa"/>
            <w:vAlign w:val="center"/>
          </w:tcPr>
          <w:p w:rsidR="00846C23" w:rsidRDefault="00DC54AC">
            <w:pPr>
              <w:jc w:val="center"/>
            </w:pPr>
            <w:r>
              <w:rPr>
                <w:color w:val="000000"/>
                <w:sz w:val="24"/>
              </w:rPr>
              <w:t>-</w:t>
            </w:r>
          </w:p>
        </w:tc>
      </w:tr>
      <w:tr w:rsidR="00320300" w:rsidRPr="00414345" w:rsidTr="00627EDE">
        <w:trPr>
          <w:trHeight w:val="340"/>
          <w:jc w:val="center"/>
        </w:trPr>
        <w:tc>
          <w:tcPr>
            <w:tcW w:w="1070" w:type="dxa"/>
            <w:vAlign w:val="center"/>
          </w:tcPr>
          <w:p w:rsidR="00320300" w:rsidRPr="00414345" w:rsidRDefault="00320300" w:rsidP="00C15CAC">
            <w:pPr>
              <w:pStyle w:val="ad"/>
              <w:adjustRightInd w:val="0"/>
              <w:snapToGrid w:val="0"/>
              <w:spacing w:before="29" w:line="288" w:lineRule="auto"/>
              <w:jc w:val="center"/>
              <w:rPr>
                <w:color w:val="000000"/>
                <w:kern w:val="0"/>
              </w:rPr>
            </w:pPr>
            <w:r w:rsidRPr="00414345">
              <w:rPr>
                <w:color w:val="000000"/>
                <w:kern w:val="0"/>
              </w:rPr>
              <w:t>合计</w:t>
            </w:r>
          </w:p>
        </w:tc>
        <w:tc>
          <w:tcPr>
            <w:tcW w:w="1851" w:type="dxa"/>
            <w:vAlign w:val="center"/>
          </w:tcPr>
          <w:p w:rsidR="00320300" w:rsidRPr="00414345" w:rsidRDefault="00320300" w:rsidP="00C15CAC">
            <w:pPr>
              <w:adjustRightInd w:val="0"/>
              <w:snapToGrid w:val="0"/>
              <w:spacing w:before="29" w:line="288" w:lineRule="auto"/>
              <w:jc w:val="right"/>
              <w:rPr>
                <w:color w:val="0000FF"/>
                <w:kern w:val="0"/>
                <w:sz w:val="18"/>
              </w:rPr>
            </w:pPr>
          </w:p>
        </w:tc>
        <w:tc>
          <w:tcPr>
            <w:tcW w:w="1370" w:type="dxa"/>
            <w:vAlign w:val="center"/>
          </w:tcPr>
          <w:p w:rsidR="00320300" w:rsidRPr="00414345" w:rsidRDefault="00320300" w:rsidP="00C15CAC">
            <w:pPr>
              <w:adjustRightInd w:val="0"/>
              <w:snapToGrid w:val="0"/>
              <w:spacing w:before="29" w:line="288" w:lineRule="auto"/>
              <w:jc w:val="right"/>
              <w:rPr>
                <w:color w:val="0000FF"/>
                <w:kern w:val="0"/>
                <w:sz w:val="18"/>
              </w:rPr>
            </w:pPr>
          </w:p>
        </w:tc>
        <w:tc>
          <w:tcPr>
            <w:tcW w:w="1701" w:type="dxa"/>
            <w:vAlign w:val="center"/>
          </w:tcPr>
          <w:p w:rsidR="00320300" w:rsidRPr="00414345" w:rsidRDefault="00320300" w:rsidP="00C15CAC">
            <w:pPr>
              <w:adjustRightInd w:val="0"/>
              <w:snapToGrid w:val="0"/>
              <w:spacing w:before="29" w:line="288" w:lineRule="auto"/>
              <w:jc w:val="right"/>
              <w:rPr>
                <w:color w:val="000000"/>
                <w:sz w:val="24"/>
              </w:rPr>
            </w:pPr>
            <w:r w:rsidRPr="00414345">
              <w:rPr>
                <w:color w:val="000000"/>
                <w:sz w:val="24"/>
              </w:rPr>
              <w:t>892,907.58</w:t>
            </w:r>
          </w:p>
        </w:tc>
        <w:tc>
          <w:tcPr>
            <w:tcW w:w="1842" w:type="dxa"/>
            <w:vAlign w:val="center"/>
          </w:tcPr>
          <w:p w:rsidR="00320300" w:rsidRPr="00414345" w:rsidRDefault="00320300" w:rsidP="00C15CAC">
            <w:pPr>
              <w:adjustRightInd w:val="0"/>
              <w:snapToGrid w:val="0"/>
              <w:spacing w:before="29" w:line="288" w:lineRule="auto"/>
              <w:jc w:val="right"/>
              <w:rPr>
                <w:color w:val="000000"/>
                <w:sz w:val="24"/>
              </w:rPr>
            </w:pPr>
            <w:r w:rsidRPr="00414345">
              <w:rPr>
                <w:color w:val="000000"/>
                <w:sz w:val="24"/>
              </w:rPr>
              <w:t>861,655.81</w:t>
            </w:r>
          </w:p>
        </w:tc>
        <w:tc>
          <w:tcPr>
            <w:tcW w:w="1397" w:type="dxa"/>
            <w:vAlign w:val="center"/>
          </w:tcPr>
          <w:p w:rsidR="00320300" w:rsidRPr="00414345" w:rsidRDefault="00320300" w:rsidP="00C15CAC">
            <w:pPr>
              <w:adjustRightInd w:val="0"/>
              <w:snapToGrid w:val="0"/>
              <w:spacing w:before="29" w:line="288" w:lineRule="auto"/>
              <w:jc w:val="right"/>
              <w:rPr>
                <w:color w:val="0000FF"/>
                <w:kern w:val="0"/>
                <w:sz w:val="18"/>
              </w:rPr>
            </w:pPr>
          </w:p>
        </w:tc>
      </w:tr>
    </w:tbl>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bCs/>
          <w:color w:val="000000"/>
          <w:kern w:val="0"/>
          <w:sz w:val="24"/>
          <w:szCs w:val="24"/>
        </w:rPr>
        <w:t>8.</w:t>
      </w:r>
      <w:r w:rsidRPr="009A5C99">
        <w:rPr>
          <w:rFonts w:ascii="宋体" w:hAnsi="宋体" w:hint="eastAsia"/>
          <w:b/>
          <w:bCs/>
          <w:color w:val="000000"/>
          <w:kern w:val="0"/>
          <w:sz w:val="24"/>
          <w:szCs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4F4D27" w:rsidTr="00424D30">
        <w:tc>
          <w:tcPr>
            <w:tcW w:w="993" w:type="dxa"/>
            <w:vMerge w:val="restart"/>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xml:space="preserve">  </w:t>
            </w:r>
          </w:p>
        </w:tc>
        <w:tc>
          <w:tcPr>
            <w:tcW w:w="5670" w:type="dxa"/>
            <w:gridSpan w:val="5"/>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w="2549" w:type="dxa"/>
            <w:gridSpan w:val="2"/>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w="993" w:type="dxa"/>
            <w:vMerge/>
            <w:vAlign w:val="center"/>
          </w:tcPr>
          <w:p w:rsidR="003C50AD" w:rsidRPr="004F4D27" w:rsidRDefault="003C50AD" w:rsidP="00424D30">
            <w:pPr>
              <w:autoSpaceDE w:val="0"/>
              <w:autoSpaceDN w:val="0"/>
              <w:adjustRightInd w:val="0"/>
              <w:jc w:val="center"/>
              <w:rPr>
                <w:rFonts w:ascii="宋体" w:hAnsi="宋体"/>
                <w:b/>
                <w:bCs/>
                <w:color w:val="000000"/>
                <w:kern w:val="0"/>
              </w:rPr>
            </w:pPr>
          </w:p>
        </w:tc>
        <w:tc>
          <w:tcPr>
            <w:tcW w:w="992"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w="1843"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w="851"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期初份额</w:t>
            </w:r>
          </w:p>
        </w:tc>
        <w:tc>
          <w:tcPr>
            <w:tcW w:w="850"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申购份额</w:t>
            </w:r>
          </w:p>
        </w:tc>
        <w:tc>
          <w:tcPr>
            <w:tcW w:w="1134"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赎回份额</w:t>
            </w:r>
          </w:p>
        </w:tc>
        <w:tc>
          <w:tcPr>
            <w:tcW w:w="1419"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w="1130"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rsidR="00846C23">
        <w:tc>
          <w:tcPr>
            <w:tcW w:w="993" w:type="dxa"/>
            <w:vMerge w:val="restart"/>
          </w:tcPr>
          <w:p w:rsidR="00846C23" w:rsidRDefault="00846C23"/>
          <w:p w:rsidR="00846C23" w:rsidRDefault="00DC54AC">
            <w:r>
              <w:rPr>
                <w:rFonts w:ascii="宋体" w:hAnsi="宋体" w:hint="eastAsia"/>
                <w:bCs/>
                <w:color w:val="000000"/>
                <w:kern w:val="0"/>
              </w:rPr>
              <w:t>机构</w:t>
            </w:r>
          </w:p>
        </w:tc>
        <w:tc>
          <w:tcPr>
            <w:tcW w:w="992" w:type="dxa"/>
            <w:vAlign w:val="center"/>
          </w:tcPr>
          <w:p w:rsidR="00846C23" w:rsidRDefault="00DC54AC">
            <w:pPr>
              <w:jc w:val="center"/>
            </w:pPr>
            <w:r>
              <w:rPr>
                <w:rFonts w:ascii="宋体" w:hAnsi="宋体"/>
                <w:color w:val="000000"/>
                <w:kern w:val="0"/>
              </w:rPr>
              <w:t>1</w:t>
            </w:r>
          </w:p>
        </w:tc>
        <w:tc>
          <w:tcPr>
            <w:tcW w:w="1843" w:type="dxa"/>
            <w:vAlign w:val="center"/>
          </w:tcPr>
          <w:p w:rsidR="00846C23" w:rsidRDefault="00DC54AC">
            <w:pPr>
              <w:jc w:val="center"/>
            </w:pPr>
            <w:r>
              <w:rPr>
                <w:rFonts w:ascii="宋体" w:hAnsi="宋体"/>
                <w:color w:val="000000"/>
                <w:kern w:val="0"/>
              </w:rPr>
              <w:t>2019/10/1-2019/12/31</w:t>
            </w:r>
          </w:p>
        </w:tc>
        <w:tc>
          <w:tcPr>
            <w:tcW w:w="851" w:type="dxa"/>
            <w:vAlign w:val="center"/>
          </w:tcPr>
          <w:p w:rsidR="00846C23" w:rsidRDefault="00DC54AC">
            <w:pPr>
              <w:jc w:val="center"/>
            </w:pPr>
            <w:r>
              <w:rPr>
                <w:rFonts w:ascii="宋体" w:hAnsi="宋体"/>
                <w:color w:val="000000"/>
                <w:kern w:val="0"/>
              </w:rPr>
              <w:t>262,125,014.53</w:t>
            </w:r>
          </w:p>
        </w:tc>
        <w:tc>
          <w:tcPr>
            <w:tcW w:w="850" w:type="dxa"/>
            <w:vAlign w:val="center"/>
          </w:tcPr>
          <w:p w:rsidR="00846C23" w:rsidRDefault="00DC54AC">
            <w:pPr>
              <w:jc w:val="center"/>
            </w:pPr>
            <w:r>
              <w:rPr>
                <w:rFonts w:ascii="宋体" w:hAnsi="宋体"/>
                <w:color w:val="000000"/>
                <w:kern w:val="0"/>
              </w:rPr>
              <w:t>-</w:t>
            </w:r>
          </w:p>
        </w:tc>
        <w:tc>
          <w:tcPr>
            <w:tcW w:w="1134" w:type="dxa"/>
            <w:vAlign w:val="center"/>
          </w:tcPr>
          <w:p w:rsidR="00846C23" w:rsidRDefault="00DC54AC">
            <w:pPr>
              <w:jc w:val="center"/>
            </w:pPr>
            <w:r>
              <w:rPr>
                <w:rFonts w:ascii="宋体" w:hAnsi="宋体"/>
                <w:color w:val="000000"/>
                <w:kern w:val="0"/>
              </w:rPr>
              <w:t>262,125,014.53</w:t>
            </w:r>
          </w:p>
        </w:tc>
        <w:tc>
          <w:tcPr>
            <w:tcW w:w="1419" w:type="dxa"/>
            <w:vAlign w:val="center"/>
          </w:tcPr>
          <w:p w:rsidR="00846C23" w:rsidRDefault="00DC54AC">
            <w:pPr>
              <w:jc w:val="center"/>
            </w:pPr>
            <w:r>
              <w:rPr>
                <w:rFonts w:ascii="宋体" w:hAnsi="宋体"/>
                <w:color w:val="000000"/>
                <w:kern w:val="0"/>
              </w:rPr>
              <w:t>-</w:t>
            </w:r>
          </w:p>
        </w:tc>
        <w:tc>
          <w:tcPr>
            <w:tcW w:w="1130" w:type="dxa"/>
            <w:vAlign w:val="center"/>
          </w:tcPr>
          <w:p w:rsidR="00846C23" w:rsidRDefault="00DC54AC">
            <w:pPr>
              <w:jc w:val="center"/>
            </w:pPr>
            <w:r>
              <w:rPr>
                <w:rFonts w:ascii="宋体" w:hAnsi="宋体"/>
                <w:color w:val="000000"/>
                <w:kern w:val="0"/>
              </w:rPr>
              <w:t>-</w:t>
            </w:r>
          </w:p>
        </w:tc>
      </w:tr>
      <w:tr w:rsidR="00846C23">
        <w:tc>
          <w:tcPr>
            <w:tcW w:w="993" w:type="dxa"/>
            <w:vMerge/>
          </w:tcPr>
          <w:p w:rsidR="00846C23" w:rsidRDefault="00846C23"/>
        </w:tc>
        <w:tc>
          <w:tcPr>
            <w:tcW w:w="992" w:type="dxa"/>
            <w:vAlign w:val="center"/>
          </w:tcPr>
          <w:p w:rsidR="00846C23" w:rsidRDefault="00DC54AC">
            <w:pPr>
              <w:jc w:val="center"/>
            </w:pPr>
            <w:r>
              <w:rPr>
                <w:rFonts w:ascii="宋体" w:hAnsi="宋体"/>
                <w:color w:val="000000"/>
                <w:kern w:val="0"/>
              </w:rPr>
              <w:t>2</w:t>
            </w:r>
          </w:p>
        </w:tc>
        <w:tc>
          <w:tcPr>
            <w:tcW w:w="1843" w:type="dxa"/>
            <w:vAlign w:val="center"/>
          </w:tcPr>
          <w:p w:rsidR="00846C23" w:rsidRDefault="00DC54AC">
            <w:pPr>
              <w:jc w:val="center"/>
            </w:pPr>
            <w:r>
              <w:rPr>
                <w:rFonts w:ascii="宋体" w:hAnsi="宋体"/>
                <w:color w:val="000000"/>
                <w:kern w:val="0"/>
              </w:rPr>
              <w:t>2019/10/1-2019/12/31</w:t>
            </w:r>
          </w:p>
        </w:tc>
        <w:tc>
          <w:tcPr>
            <w:tcW w:w="851" w:type="dxa"/>
            <w:vAlign w:val="center"/>
          </w:tcPr>
          <w:p w:rsidR="00846C23" w:rsidRDefault="00DC54AC">
            <w:pPr>
              <w:jc w:val="center"/>
            </w:pPr>
            <w:r>
              <w:rPr>
                <w:rFonts w:ascii="宋体" w:hAnsi="宋体"/>
                <w:color w:val="000000"/>
                <w:kern w:val="0"/>
              </w:rPr>
              <w:t>-</w:t>
            </w:r>
          </w:p>
        </w:tc>
        <w:tc>
          <w:tcPr>
            <w:tcW w:w="850" w:type="dxa"/>
            <w:vAlign w:val="center"/>
          </w:tcPr>
          <w:p w:rsidR="00846C23" w:rsidRDefault="00DC54AC">
            <w:pPr>
              <w:jc w:val="center"/>
            </w:pPr>
            <w:r>
              <w:rPr>
                <w:rFonts w:ascii="宋体" w:hAnsi="宋体"/>
                <w:color w:val="000000"/>
                <w:kern w:val="0"/>
              </w:rPr>
              <w:t>158,612,292.22</w:t>
            </w:r>
          </w:p>
        </w:tc>
        <w:tc>
          <w:tcPr>
            <w:tcW w:w="1134" w:type="dxa"/>
            <w:vAlign w:val="center"/>
          </w:tcPr>
          <w:p w:rsidR="00846C23" w:rsidRDefault="00DC54AC">
            <w:pPr>
              <w:jc w:val="center"/>
            </w:pPr>
            <w:r>
              <w:rPr>
                <w:rFonts w:ascii="宋体" w:hAnsi="宋体"/>
                <w:color w:val="000000"/>
                <w:kern w:val="0"/>
              </w:rPr>
              <w:t>-</w:t>
            </w:r>
          </w:p>
        </w:tc>
        <w:tc>
          <w:tcPr>
            <w:tcW w:w="1419" w:type="dxa"/>
            <w:vAlign w:val="center"/>
          </w:tcPr>
          <w:p w:rsidR="00846C23" w:rsidRDefault="00DC54AC">
            <w:pPr>
              <w:jc w:val="center"/>
            </w:pPr>
            <w:r>
              <w:rPr>
                <w:rFonts w:ascii="宋体" w:hAnsi="宋体"/>
                <w:color w:val="000000"/>
                <w:kern w:val="0"/>
              </w:rPr>
              <w:t>158,612,292.22</w:t>
            </w:r>
          </w:p>
        </w:tc>
        <w:tc>
          <w:tcPr>
            <w:tcW w:w="1130" w:type="dxa"/>
            <w:vAlign w:val="center"/>
          </w:tcPr>
          <w:p w:rsidR="00846C23" w:rsidRDefault="00DC54AC">
            <w:pPr>
              <w:jc w:val="center"/>
            </w:pPr>
            <w:r>
              <w:rPr>
                <w:rFonts w:ascii="宋体" w:hAnsi="宋体"/>
                <w:color w:val="000000"/>
                <w:kern w:val="0"/>
              </w:rPr>
              <w:t>42.09%</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center"/>
              <w:rPr>
                <w:rFonts w:ascii="宋体" w:hAnsi="宋体"/>
                <w:kern w:val="0"/>
              </w:rPr>
            </w:pPr>
            <w:r w:rsidRPr="004F4D27">
              <w:rPr>
                <w:rFonts w:ascii="宋体" w:hAnsi="宋体"/>
                <w:color w:val="000000"/>
                <w:kern w:val="0"/>
              </w:rPr>
              <w:t>产品特有风险</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left"/>
              <w:rPr>
                <w:rFonts w:ascii="宋体" w:hAnsi="宋体"/>
                <w:kern w:val="0"/>
              </w:rPr>
            </w:pP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8.2 影响投资者决策的其他重要信息</w:t>
      </w:r>
    </w:p>
    <w:p w:rsidR="003C50AD" w:rsidRPr="004F4D27" w:rsidRDefault="003C50AD" w:rsidP="003C50AD">
      <w:pPr>
        <w:spacing w:line="360" w:lineRule="auto"/>
        <w:ind w:firstLineChars="200" w:firstLine="420"/>
        <w:rPr>
          <w:rFonts w:ascii="宋体" w:hAnsi="宋体"/>
          <w:color w:val="000000"/>
        </w:rPr>
      </w:pPr>
      <w:r w:rsidRPr="004F4D27">
        <w:rPr>
          <w:rFonts w:ascii="宋体" w:hAnsi="宋体"/>
          <w:color w:val="000000"/>
        </w:rPr>
        <w:t>根据《公开募集证券投资基金信息披露管理办法》的有关规定及相关监管要求，经与基金托管</w:t>
      </w:r>
      <w:r w:rsidRPr="004F4D27">
        <w:rPr>
          <w:rFonts w:ascii="宋体" w:hAnsi="宋体"/>
          <w:color w:val="000000"/>
        </w:rPr>
        <w:lastRenderedPageBreak/>
        <w:t>人协商一致并报监管机构备案，基金管理人对本基金基金合同等法律文件中信息披露相关规定作相应修改，欲知详情请查阅本基金管理人发布的最新法律文件。</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846C23" w:rsidRDefault="00DC54AC">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、中国证监会批准交银施罗德沪深</w:t>
      </w:r>
      <w:r>
        <w:rPr>
          <w:color w:val="000000"/>
          <w:sz w:val="24"/>
          <w:szCs w:val="24"/>
        </w:rPr>
        <w:t>300</w:t>
      </w:r>
      <w:r>
        <w:rPr>
          <w:color w:val="000000"/>
          <w:sz w:val="24"/>
          <w:szCs w:val="24"/>
        </w:rPr>
        <w:t>行业分层等权重指数证券投资基金募集的文件；</w:t>
      </w:r>
    </w:p>
    <w:p w:rsidR="00846C23" w:rsidRDefault="00DC54AC">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、《交银施罗德消费新驱动股票型证券投资基金基金合同》；</w:t>
      </w:r>
    </w:p>
    <w:p w:rsidR="00846C23" w:rsidRDefault="00DC54AC">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、《交银施罗德消费新驱动股票型证券投资基金招募说明书》；</w:t>
      </w:r>
    </w:p>
    <w:p w:rsidR="00846C23" w:rsidRDefault="00DC54AC">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、《交银施罗德消费新驱动股票型证券投资基金托管协议》；</w:t>
      </w:r>
    </w:p>
    <w:p w:rsidR="00846C23" w:rsidRDefault="00DC54AC">
      <w:pPr>
        <w:spacing w:before="29" w:line="288" w:lineRule="auto"/>
        <w:ind w:firstLineChars="200" w:firstLine="480"/>
        <w:rPr>
          <w:color w:val="000000"/>
          <w:sz w:val="24"/>
          <w:szCs w:val="24"/>
        </w:rPr>
      </w:pPr>
      <w:r>
        <w:rPr>
          <w:color w:val="000000"/>
          <w:sz w:val="24"/>
          <w:szCs w:val="24"/>
        </w:rPr>
        <w:t>5</w:t>
      </w:r>
      <w:r>
        <w:rPr>
          <w:color w:val="000000"/>
          <w:sz w:val="24"/>
          <w:szCs w:val="24"/>
        </w:rPr>
        <w:t>、《交银施罗德沪深</w:t>
      </w:r>
      <w:r>
        <w:rPr>
          <w:color w:val="000000"/>
          <w:sz w:val="24"/>
          <w:szCs w:val="24"/>
        </w:rPr>
        <w:t>300</w:t>
      </w:r>
      <w:r>
        <w:rPr>
          <w:color w:val="000000"/>
          <w:sz w:val="24"/>
          <w:szCs w:val="24"/>
        </w:rPr>
        <w:t>行业分层等权重指数证券投资基金基金合同》；</w:t>
      </w:r>
    </w:p>
    <w:p w:rsidR="00846C23" w:rsidRDefault="00DC54AC">
      <w:pPr>
        <w:spacing w:before="29" w:line="288" w:lineRule="auto"/>
        <w:ind w:firstLineChars="200" w:firstLine="480"/>
        <w:rPr>
          <w:color w:val="000000"/>
          <w:sz w:val="24"/>
          <w:szCs w:val="24"/>
        </w:rPr>
      </w:pPr>
      <w:r>
        <w:rPr>
          <w:color w:val="000000"/>
          <w:sz w:val="24"/>
          <w:szCs w:val="24"/>
        </w:rPr>
        <w:t>6</w:t>
      </w:r>
      <w:r>
        <w:rPr>
          <w:color w:val="000000"/>
          <w:sz w:val="24"/>
          <w:szCs w:val="24"/>
        </w:rPr>
        <w:t>、《交银施罗德沪深</w:t>
      </w:r>
      <w:r>
        <w:rPr>
          <w:color w:val="000000"/>
          <w:sz w:val="24"/>
          <w:szCs w:val="24"/>
        </w:rPr>
        <w:t>300</w:t>
      </w:r>
      <w:r>
        <w:rPr>
          <w:color w:val="000000"/>
          <w:sz w:val="24"/>
          <w:szCs w:val="24"/>
        </w:rPr>
        <w:t>行业分层等权重指数证券投资基金招募说明书》；</w:t>
      </w:r>
    </w:p>
    <w:p w:rsidR="00846C23" w:rsidRDefault="00DC54AC">
      <w:pPr>
        <w:spacing w:before="29" w:line="288" w:lineRule="auto"/>
        <w:ind w:firstLineChars="200" w:firstLine="480"/>
        <w:rPr>
          <w:color w:val="000000"/>
          <w:sz w:val="24"/>
          <w:szCs w:val="24"/>
        </w:rPr>
      </w:pPr>
      <w:r>
        <w:rPr>
          <w:color w:val="000000"/>
          <w:sz w:val="24"/>
          <w:szCs w:val="24"/>
        </w:rPr>
        <w:t>7</w:t>
      </w:r>
      <w:r>
        <w:rPr>
          <w:color w:val="000000"/>
          <w:sz w:val="24"/>
          <w:szCs w:val="24"/>
        </w:rPr>
        <w:t>、《交银施罗德沪深</w:t>
      </w:r>
      <w:r>
        <w:rPr>
          <w:color w:val="000000"/>
          <w:sz w:val="24"/>
          <w:szCs w:val="24"/>
        </w:rPr>
        <w:t>300</w:t>
      </w:r>
      <w:r>
        <w:rPr>
          <w:color w:val="000000"/>
          <w:sz w:val="24"/>
          <w:szCs w:val="24"/>
        </w:rPr>
        <w:t>行业分层等权重指数证券投资基金托管协议》；</w:t>
      </w:r>
    </w:p>
    <w:p w:rsidR="00846C23" w:rsidRDefault="00DC54AC">
      <w:pPr>
        <w:spacing w:before="29" w:line="288" w:lineRule="auto"/>
        <w:ind w:firstLineChars="200" w:firstLine="480"/>
        <w:rPr>
          <w:color w:val="000000"/>
          <w:sz w:val="24"/>
          <w:szCs w:val="24"/>
        </w:rPr>
      </w:pPr>
      <w:r>
        <w:rPr>
          <w:color w:val="000000"/>
          <w:sz w:val="24"/>
          <w:szCs w:val="24"/>
        </w:rPr>
        <w:t>8</w:t>
      </w:r>
      <w:r>
        <w:rPr>
          <w:color w:val="000000"/>
          <w:sz w:val="24"/>
          <w:szCs w:val="24"/>
        </w:rPr>
        <w:t>、基金管理人业务资格批件、营业执照；</w:t>
      </w:r>
    </w:p>
    <w:p w:rsidR="00846C23" w:rsidRDefault="00DC54AC">
      <w:pPr>
        <w:spacing w:before="29" w:line="288" w:lineRule="auto"/>
        <w:ind w:firstLineChars="200" w:firstLine="480"/>
        <w:rPr>
          <w:color w:val="000000"/>
          <w:sz w:val="24"/>
          <w:szCs w:val="24"/>
        </w:rPr>
      </w:pPr>
      <w:r>
        <w:rPr>
          <w:color w:val="000000"/>
          <w:sz w:val="24"/>
          <w:szCs w:val="24"/>
        </w:rPr>
        <w:t>9</w:t>
      </w:r>
      <w:r>
        <w:rPr>
          <w:color w:val="000000"/>
          <w:sz w:val="24"/>
          <w:szCs w:val="24"/>
        </w:rPr>
        <w:t>、基金托管人业务资格批件、营业执照；</w:t>
      </w:r>
    </w:p>
    <w:p w:rsidR="00846C23" w:rsidRDefault="00DC54AC">
      <w:pPr>
        <w:spacing w:before="29" w:line="288" w:lineRule="auto"/>
        <w:ind w:firstLineChars="200" w:firstLine="480"/>
        <w:rPr>
          <w:color w:val="000000"/>
          <w:sz w:val="24"/>
          <w:szCs w:val="24"/>
        </w:rPr>
      </w:pPr>
      <w:r>
        <w:rPr>
          <w:color w:val="000000"/>
          <w:sz w:val="24"/>
          <w:szCs w:val="24"/>
        </w:rPr>
        <w:t>10</w:t>
      </w:r>
      <w:r>
        <w:rPr>
          <w:color w:val="000000"/>
          <w:sz w:val="24"/>
          <w:szCs w:val="24"/>
        </w:rPr>
        <w:t>、关于申请募集交银施罗德沪深</w:t>
      </w:r>
      <w:r>
        <w:rPr>
          <w:color w:val="000000"/>
          <w:sz w:val="24"/>
          <w:szCs w:val="24"/>
        </w:rPr>
        <w:t>300</w:t>
      </w:r>
      <w:r>
        <w:rPr>
          <w:color w:val="000000"/>
          <w:sz w:val="24"/>
          <w:szCs w:val="24"/>
        </w:rPr>
        <w:t>行业分层等权重指数证券投资基金之法律意见书；</w:t>
      </w:r>
    </w:p>
    <w:p w:rsidR="00846C23" w:rsidRDefault="00DC54AC">
      <w:pPr>
        <w:spacing w:before="29" w:line="288" w:lineRule="auto"/>
        <w:ind w:firstLineChars="200" w:firstLine="480"/>
        <w:rPr>
          <w:color w:val="000000"/>
          <w:sz w:val="24"/>
          <w:szCs w:val="24"/>
        </w:rPr>
      </w:pPr>
      <w:r>
        <w:rPr>
          <w:color w:val="000000"/>
          <w:sz w:val="24"/>
          <w:szCs w:val="24"/>
        </w:rPr>
        <w:t>11</w:t>
      </w:r>
      <w:r>
        <w:rPr>
          <w:color w:val="000000"/>
          <w:sz w:val="24"/>
          <w:szCs w:val="24"/>
        </w:rPr>
        <w:t>、关于《申请交银施罗德沪深</w:t>
      </w:r>
      <w:r>
        <w:rPr>
          <w:color w:val="000000"/>
          <w:sz w:val="24"/>
          <w:szCs w:val="24"/>
        </w:rPr>
        <w:t>300</w:t>
      </w:r>
      <w:r>
        <w:rPr>
          <w:color w:val="000000"/>
          <w:sz w:val="24"/>
          <w:szCs w:val="24"/>
        </w:rPr>
        <w:t>行业分层等权重指数证券投资基金变更注册为交</w:t>
      </w:r>
      <w:r>
        <w:rPr>
          <w:color w:val="000000"/>
          <w:sz w:val="24"/>
          <w:szCs w:val="24"/>
        </w:rPr>
        <w:t>银施罗德消费新驱动股票型证券投资基金》的法律意见；</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12</w:t>
      </w:r>
      <w:r w:rsidRPr="00414345">
        <w:rPr>
          <w:color w:val="000000"/>
          <w:sz w:val="24"/>
          <w:szCs w:val="24"/>
        </w:rPr>
        <w:t>、报告期内交银施罗德消费新驱动股票型证券投资基金、交银施罗德沪深</w:t>
      </w:r>
      <w:r w:rsidRPr="00414345">
        <w:rPr>
          <w:color w:val="000000"/>
          <w:sz w:val="24"/>
          <w:szCs w:val="24"/>
        </w:rPr>
        <w:t>300</w:t>
      </w:r>
      <w:r w:rsidRPr="00414345">
        <w:rPr>
          <w:color w:val="000000"/>
          <w:sz w:val="24"/>
          <w:szCs w:val="24"/>
        </w:rPr>
        <w:t>行业分层等权重指数证券投资基金在指定报刊上各项公告的原稿。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846C23" w:rsidRDefault="00DC54AC">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4AC" w:rsidRDefault="00DC54AC" w:rsidP="00876D65">
      <w:r>
        <w:separator/>
      </w:r>
    </w:p>
  </w:endnote>
  <w:endnote w:type="continuationSeparator" w:id="0">
    <w:p w:rsidR="00DC54AC" w:rsidRDefault="00DC54AC"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046336">
      <w:rPr>
        <w:noProof/>
        <w:kern w:val="0"/>
        <w:szCs w:val="21"/>
      </w:rPr>
      <w:t>11</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046336">
      <w:rPr>
        <w:noProof/>
        <w:kern w:val="0"/>
        <w:szCs w:val="21"/>
      </w:rPr>
      <w:t>12</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4AC" w:rsidRDefault="00DC54AC" w:rsidP="00876D65">
      <w:r>
        <w:separator/>
      </w:r>
    </w:p>
  </w:footnote>
  <w:footnote w:type="continuationSeparator" w:id="0">
    <w:p w:rsidR="00DC54AC" w:rsidRDefault="00DC54AC"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交银施罗德消费新驱动股票型证券投资基金</w:t>
    </w:r>
    <w:r w:rsidRPr="003E676C">
      <w:rPr>
        <w:sz w:val="24"/>
        <w:szCs w:val="24"/>
      </w:rPr>
      <w:t>2019</w:t>
    </w:r>
    <w:r w:rsidRPr="003E676C">
      <w:rPr>
        <w:sz w:val="24"/>
        <w:szCs w:val="24"/>
      </w:rPr>
      <w:t>年第</w:t>
    </w:r>
    <w:r w:rsidRPr="003E676C">
      <w:rPr>
        <w:sz w:val="24"/>
        <w:szCs w:val="24"/>
      </w:rPr>
      <w:t>4</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36"/>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46C23"/>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54AC"/>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C8E6-5A1A-42CD-AD87-4FB80DD8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12</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598</cp:revision>
  <dcterms:created xsi:type="dcterms:W3CDTF">2012-10-16T06:07:00Z</dcterms:created>
  <dcterms:modified xsi:type="dcterms:W3CDTF">2020-01-16T09:49:00Z</dcterms:modified>
</cp:coreProperties>
</file>