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交银施罗德品质升级混合型证券投资基金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2018年2月8日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733,085,078.34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12,570,003.41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33,055,921.74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0.0417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777,082,224.59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1.0600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4.00%</w:t>
            </w:r>
          </w:p>
        </w:tc>
        <w:tc>
          <w:tcPr>
            <w:vAlign w:val="center"/>
          </w:tcPr>
          <w:p>
            <w:pPr>
              <w:jc w:val="center"/>
            </w:pPr>
            <w:r>
              <w:rPr>
                <w:color w:val="000000"/>
                <w:sz w:val="24"/>
                <w:szCs w:val="24"/>
              </w:rPr>
              <w:t>0.81%</w:t>
            </w:r>
          </w:p>
        </w:tc>
        <w:tc>
          <w:tcPr>
            <w:vAlign w:val="center"/>
          </w:tcPr>
          <w:p>
            <w:pPr>
              <w:jc w:val="center"/>
            </w:pPr>
            <w:r>
              <w:rPr>
                <w:color w:val="000000"/>
                <w:sz w:val="24"/>
                <w:szCs w:val="24"/>
              </w:rPr>
              <w:t>4.92%</w:t>
            </w:r>
          </w:p>
        </w:tc>
        <w:tc>
          <w:tcPr>
            <w:vAlign w:val="center"/>
          </w:tcPr>
          <w:p>
            <w:pPr>
              <w:jc w:val="center"/>
            </w:pPr>
            <w:r>
              <w:rPr>
                <w:color w:val="000000"/>
                <w:sz w:val="24"/>
                <w:szCs w:val="24"/>
              </w:rPr>
              <w:t>0.44%</w:t>
            </w:r>
          </w:p>
        </w:tc>
        <w:tc>
          <w:tcPr>
            <w:vAlign w:val="center"/>
          </w:tcPr>
          <w:p>
            <w:pPr>
              <w:jc w:val="center"/>
            </w:pPr>
            <w:r>
              <w:rPr>
                <w:color w:val="000000"/>
                <w:sz w:val="24"/>
                <w:szCs w:val="24"/>
              </w:rPr>
              <w:t>-0.92%</w:t>
            </w:r>
          </w:p>
        </w:tc>
        <w:tc>
          <w:tcPr>
            <w:vAlign w:val="center"/>
          </w:tcPr>
          <w:p>
            <w:pPr>
              <w:jc w:val="center"/>
            </w:pPr>
            <w:r>
              <w:rPr>
                <w:color w:val="000000"/>
                <w:sz w:val="24"/>
                <w:szCs w:val="24"/>
              </w:rPr>
              <w:t>0.37%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交银施罗德品质升级混合型证券投资基金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2018年2月8日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2018-02-08</w:t>
            </w:r>
          </w:p>
        </w:tc>
        <w:tc>
          <w:tcPr>
            <w:vAlign w:val="center"/>
          </w:tcPr>
          <w:p>
            <w:pPr>
              <w:jc w:val="center"/>
            </w:pPr>
            <w:r>
              <w:rPr>
                <w:color w:val="000000"/>
                <w:sz w:val="24"/>
                <w:szCs w:val="24"/>
              </w:rPr>
              <w:t>-</w:t>
            </w:r>
          </w:p>
        </w:tc>
        <w:tc>
          <w:tcPr>
            <w:vAlign w:val="center"/>
          </w:tcPr>
          <w:p>
            <w:pPr>
              <w:jc w:val="center"/>
            </w:pPr>
            <w:r>
              <w:rPr>
                <w:color w:val="000000"/>
                <w:sz w:val="24"/>
                <w:szCs w:val="24"/>
              </w:rPr>
              <w:t>13年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2019年四季度，中美贸易战暂已告一段落，也没有出现更为严峻的趋势。利率市场化以后，整个长端利率水平开始出现下行趋势，市场风险偏好明显提升。随着中国市场逐步纳入MSCI，外资整体占比快速提升，国内股票市场的定价方法和估值水平受到了较大的影响，后续的变化也是国内投资者更为重视的环节。2019年12月以来，金融创新逐渐加大，对冲机制、注册制以及国有企业股权改革等相关创新手段的逐步完善，海外价值投资和对冲基金还将进一步增加中国资产的投资。</w:t>
      </w:r>
    </w:p>
    <w:p>
      <w:pPr>
        <w:spacing w:before="29" w:line="288" w:lineRule="auto"/>
        <w:ind w:firstLine="480" w:firstLineChars="200"/>
        <w:rPr>
          <w:color w:val="000000"/>
          <w:sz w:val="24"/>
          <w:szCs w:val="24"/>
        </w:rPr>
      </w:pPr>
      <w:r>
        <w:rPr>
          <w:color w:val="000000"/>
          <w:sz w:val="24"/>
          <w:szCs w:val="24"/>
        </w:rPr>
        <w:t>本基金在2019年四季度主要以消费白马龙头作为底仓的配置思路，个股集中度依然维持在较高水平。重仓股做了适当的调整，增持了啤酒、医药创新和地产行业的相关个股，获得一定绝对收益，但相对收益不明显。</w:t>
      </w:r>
    </w:p>
    <w:p>
      <w:pPr>
        <w:spacing w:before="29" w:line="288" w:lineRule="auto"/>
        <w:ind w:firstLine="480" w:firstLineChars="200"/>
        <w:rPr>
          <w:color w:val="000000"/>
          <w:sz w:val="24"/>
          <w:szCs w:val="24"/>
        </w:rPr>
      </w:pPr>
      <w:r>
        <w:rPr>
          <w:color w:val="000000"/>
          <w:sz w:val="24"/>
          <w:szCs w:val="24"/>
        </w:rPr>
        <w:t>展望2020年一季度，随着长端利率进一步下行，外资配置比例提高，整个市场的流动性会继续改善，未来市场或将进入稳定的长期上涨周期。但是，由于宏观经济增速放缓，各个行业的增速也出现比较明显的放缓，个股基本面分化会更加明显，市场波动率会进一步加大。整个市场风险目前已上升到较高水平，同时部分行业和公司在2019年估值水平上升比较明显，我们将关注一季度整体高估值行业的风险。</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本基金在2020年一季度将保持消费白马和地产作为底仓的配置思路，择机适度增加银行、地产以及医药的配置比例。</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692,672,017.28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692,672,017.28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81.57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156,068,765.55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478,391.56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849,219,174.39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559,532,931.64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5,675,410.00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334,261.84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25,810,212.08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77,525,846.02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583,105.28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15,370,224.42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7,840,026.00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692,672,017.28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89.14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57,564</w:t>
            </w:r>
          </w:p>
        </w:tc>
        <w:tc>
          <w:tcPr>
            <w:vAlign w:val="center"/>
          </w:tcPr>
          <w:p>
            <w:pPr>
              <w:jc w:val="right"/>
            </w:pPr>
            <w:r>
              <w:rPr>
                <w:color w:val="000000"/>
                <w:sz w:val="24"/>
                <w:szCs w:val="24"/>
              </w:rPr>
              <w:t>68,098,212.00</w:t>
            </w:r>
          </w:p>
        </w:tc>
        <w:tc>
          <w:tcPr>
            <w:vAlign w:val="center"/>
          </w:tcPr>
          <w:p>
            <w:pPr>
              <w:jc w:val="right"/>
            </w:pPr>
            <w:r>
              <w:rPr>
                <w:color w:val="000000"/>
                <w:sz w:val="24"/>
                <w:szCs w:val="24"/>
              </w:rPr>
              <w:t>8.76</w:t>
            </w:r>
          </w:p>
        </w:tc>
      </w:tr>
      <w:tr>
        <w:tc>
          <w:tcPr>
            <w:vAlign w:val="center"/>
          </w:tcPr>
          <w:p>
            <w:pPr>
              <w:jc w:val="center"/>
            </w:pPr>
            <w:r>
              <w:rPr>
                <w:color w:val="000000"/>
                <w:sz w:val="24"/>
                <w:szCs w:val="24"/>
              </w:rPr>
              <w:t>2</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2,053,222</w:t>
            </w:r>
          </w:p>
        </w:tc>
        <w:tc>
          <w:tcPr>
            <w:vAlign w:val="center"/>
          </w:tcPr>
          <w:p>
            <w:pPr>
              <w:jc w:val="right"/>
            </w:pPr>
            <w:r>
              <w:rPr>
                <w:color w:val="000000"/>
                <w:sz w:val="24"/>
                <w:szCs w:val="24"/>
              </w:rPr>
              <w:t>67,181,423.84</w:t>
            </w:r>
          </w:p>
        </w:tc>
        <w:tc>
          <w:tcPr>
            <w:vAlign w:val="center"/>
          </w:tcPr>
          <w:p>
            <w:pPr>
              <w:jc w:val="right"/>
            </w:pPr>
            <w:r>
              <w:rPr>
                <w:color w:val="000000"/>
                <w:sz w:val="24"/>
                <w:szCs w:val="24"/>
              </w:rPr>
              <w:t>8.65</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497,389</w:t>
            </w:r>
          </w:p>
        </w:tc>
        <w:tc>
          <w:tcPr>
            <w:vAlign w:val="center"/>
          </w:tcPr>
          <w:p>
            <w:pPr>
              <w:jc w:val="right"/>
            </w:pPr>
            <w:r>
              <w:rPr>
                <w:color w:val="000000"/>
                <w:sz w:val="24"/>
                <w:szCs w:val="24"/>
              </w:rPr>
              <w:t>66,157,710.89</w:t>
            </w:r>
          </w:p>
        </w:tc>
        <w:tc>
          <w:tcPr>
            <w:vAlign w:val="center"/>
          </w:tcPr>
          <w:p>
            <w:pPr>
              <w:jc w:val="right"/>
            </w:pPr>
            <w:r>
              <w:rPr>
                <w:color w:val="000000"/>
                <w:sz w:val="24"/>
                <w:szCs w:val="24"/>
              </w:rPr>
              <w:t>8.51</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3,965,905</w:t>
            </w:r>
          </w:p>
        </w:tc>
        <w:tc>
          <w:tcPr>
            <w:vAlign w:val="center"/>
          </w:tcPr>
          <w:p>
            <w:pPr>
              <w:jc w:val="right"/>
            </w:pPr>
            <w:r>
              <w:rPr>
                <w:color w:val="000000"/>
                <w:sz w:val="24"/>
                <w:szCs w:val="24"/>
              </w:rPr>
              <w:t>64,604,592.45</w:t>
            </w:r>
          </w:p>
        </w:tc>
        <w:tc>
          <w:tcPr>
            <w:vAlign w:val="center"/>
          </w:tcPr>
          <w:p>
            <w:pPr>
              <w:jc w:val="right"/>
            </w:pPr>
            <w:r>
              <w:rPr>
                <w:color w:val="000000"/>
                <w:sz w:val="24"/>
                <w:szCs w:val="24"/>
              </w:rPr>
              <w:t>8.31</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1,037,388</w:t>
            </w:r>
          </w:p>
        </w:tc>
        <w:tc>
          <w:tcPr>
            <w:vAlign w:val="center"/>
          </w:tcPr>
          <w:p>
            <w:pPr>
              <w:jc w:val="right"/>
            </w:pPr>
            <w:r>
              <w:rPr>
                <w:color w:val="000000"/>
                <w:sz w:val="24"/>
                <w:szCs w:val="24"/>
              </w:rPr>
              <w:t>53,902,680.48</w:t>
            </w:r>
          </w:p>
        </w:tc>
        <w:tc>
          <w:tcPr>
            <w:vAlign w:val="center"/>
          </w:tcPr>
          <w:p>
            <w:pPr>
              <w:jc w:val="right"/>
            </w:pPr>
            <w:r>
              <w:rPr>
                <w:color w:val="000000"/>
                <w:sz w:val="24"/>
                <w:szCs w:val="24"/>
              </w:rPr>
              <w:t>6.94</w:t>
            </w:r>
          </w:p>
        </w:tc>
      </w:tr>
      <w:tr>
        <w:tc>
          <w:tcPr>
            <w:vAlign w:val="center"/>
          </w:tcPr>
          <w:p>
            <w:pPr>
              <w:jc w:val="center"/>
            </w:pPr>
            <w:r>
              <w:rPr>
                <w:color w:val="000000"/>
                <w:sz w:val="24"/>
                <w:szCs w:val="24"/>
              </w:rPr>
              <w:t>6</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1,454,050</w:t>
            </w:r>
          </w:p>
        </w:tc>
        <w:tc>
          <w:tcPr>
            <w:vAlign w:val="center"/>
          </w:tcPr>
          <w:p>
            <w:pPr>
              <w:jc w:val="right"/>
            </w:pPr>
            <w:r>
              <w:rPr>
                <w:color w:val="000000"/>
                <w:sz w:val="24"/>
                <w:szCs w:val="24"/>
              </w:rPr>
              <w:t>44,988,307.00</w:t>
            </w:r>
          </w:p>
        </w:tc>
        <w:tc>
          <w:tcPr>
            <w:vAlign w:val="center"/>
          </w:tcPr>
          <w:p>
            <w:pPr>
              <w:jc w:val="right"/>
            </w:pPr>
            <w:r>
              <w:rPr>
                <w:color w:val="000000"/>
                <w:sz w:val="24"/>
                <w:szCs w:val="24"/>
              </w:rPr>
              <w:t>5.79</w:t>
            </w:r>
          </w:p>
        </w:tc>
      </w:tr>
      <w:tr>
        <w:tc>
          <w:tcPr>
            <w:vAlign w:val="center"/>
          </w:tcPr>
          <w:p>
            <w:pPr>
              <w:jc w:val="center"/>
            </w:pPr>
            <w:r>
              <w:rPr>
                <w:color w:val="000000"/>
                <w:sz w:val="24"/>
                <w:szCs w:val="24"/>
              </w:rPr>
              <w:t>7</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5,399,287</w:t>
            </w:r>
          </w:p>
        </w:tc>
        <w:tc>
          <w:tcPr>
            <w:vAlign w:val="center"/>
          </w:tcPr>
          <w:p>
            <w:pPr>
              <w:jc w:val="right"/>
            </w:pPr>
            <w:r>
              <w:rPr>
                <w:color w:val="000000"/>
                <w:sz w:val="24"/>
                <w:szCs w:val="24"/>
              </w:rPr>
              <w:t>38,550,909.18</w:t>
            </w:r>
          </w:p>
        </w:tc>
        <w:tc>
          <w:tcPr>
            <w:vAlign w:val="center"/>
          </w:tcPr>
          <w:p>
            <w:pPr>
              <w:jc w:val="right"/>
            </w:pPr>
            <w:r>
              <w:rPr>
                <w:color w:val="000000"/>
                <w:sz w:val="24"/>
                <w:szCs w:val="24"/>
              </w:rPr>
              <w:t>4.96</w:t>
            </w:r>
          </w:p>
        </w:tc>
      </w:tr>
      <w:tr>
        <w:tc>
          <w:tcPr>
            <w:vAlign w:val="center"/>
          </w:tcPr>
          <w:p>
            <w:pPr>
              <w:jc w:val="center"/>
            </w:pPr>
            <w:r>
              <w:rPr>
                <w:color w:val="000000"/>
                <w:sz w:val="24"/>
                <w:szCs w:val="24"/>
              </w:rPr>
              <w:t>8</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755,576</w:t>
            </w:r>
          </w:p>
        </w:tc>
        <w:tc>
          <w:tcPr>
            <w:vAlign w:val="center"/>
          </w:tcPr>
          <w:p>
            <w:pPr>
              <w:jc w:val="right"/>
            </w:pPr>
            <w:r>
              <w:rPr>
                <w:color w:val="000000"/>
                <w:sz w:val="24"/>
                <w:szCs w:val="24"/>
              </w:rPr>
              <w:t>38,534,376.00</w:t>
            </w:r>
          </w:p>
        </w:tc>
        <w:tc>
          <w:tcPr>
            <w:vAlign w:val="center"/>
          </w:tcPr>
          <w:p>
            <w:pPr>
              <w:jc w:val="right"/>
            </w:pPr>
            <w:r>
              <w:rPr>
                <w:color w:val="000000"/>
                <w:sz w:val="24"/>
                <w:szCs w:val="24"/>
              </w:rPr>
              <w:t>4.96</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584,427</w:t>
            </w:r>
          </w:p>
        </w:tc>
        <w:tc>
          <w:tcPr>
            <w:vAlign w:val="center"/>
          </w:tcPr>
          <w:p>
            <w:pPr>
              <w:jc w:val="right"/>
            </w:pPr>
            <w:r>
              <w:rPr>
                <w:color w:val="000000"/>
                <w:sz w:val="24"/>
                <w:szCs w:val="24"/>
              </w:rPr>
              <w:t>38,326,722.66</w:t>
            </w:r>
          </w:p>
        </w:tc>
        <w:tc>
          <w:tcPr>
            <w:vAlign w:val="center"/>
          </w:tcPr>
          <w:p>
            <w:pPr>
              <w:jc w:val="right"/>
            </w:pPr>
            <w:r>
              <w:rPr>
                <w:color w:val="000000"/>
                <w:sz w:val="24"/>
                <w:szCs w:val="24"/>
              </w:rPr>
              <w:t>4.93</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1,230,700</w:t>
            </w:r>
          </w:p>
        </w:tc>
        <w:tc>
          <w:tcPr>
            <w:vAlign w:val="center"/>
          </w:tcPr>
          <w:p>
            <w:pPr>
              <w:jc w:val="right"/>
            </w:pPr>
            <w:r>
              <w:rPr>
                <w:color w:val="000000"/>
                <w:sz w:val="24"/>
                <w:szCs w:val="24"/>
              </w:rPr>
              <w:t>34,016,548.00</w:t>
            </w:r>
          </w:p>
        </w:tc>
        <w:tc>
          <w:tcPr>
            <w:vAlign w:val="center"/>
          </w:tcPr>
          <w:p>
            <w:pPr>
              <w:jc w:val="right"/>
            </w:pPr>
            <w:r>
              <w:rPr>
                <w:color w:val="000000"/>
                <w:sz w:val="24"/>
                <w:szCs w:val="24"/>
              </w:rPr>
              <w:t>4.38</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433,926.42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16,736.71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27,728.43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478,391.56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940,995,408.96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100,664,308.43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308,574,639.05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733,085,078.34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1、中国证监会准予交银施罗德品质升级混合型证券投资基金募集注册的文件；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2、《交银施罗德品质升级混合型证券投资基金基金合同》；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3、《交银施罗德品质升级混合型证券投资基金招募说明书》；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4、《交银施罗德品质升级混合型证券投资基金托管协议》；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5、关于申请募集注册交银施罗德品质升级混合型证券投资基金的法律意见书；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8、报告期内交银施罗德品质升级混合型证券投资基金在指定报刊上各项公告的原稿。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交银施罗德品质升级混合型证券投资基金2019年第4季度报告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