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交银施罗德数据产业灵活配置混合型证券投资基金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2016年8月16日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1,205,238,613.71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88,739,944.92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157,015,096.40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0.2048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1,514,497,528.17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18.36%</w:t>
            </w:r>
          </w:p>
        </w:tc>
        <w:tc>
          <w:tcPr>
            <w:vAlign w:val="center"/>
          </w:tcPr>
          <w:p>
            <w:pPr>
              <w:jc w:val="center"/>
            </w:pPr>
            <w:r>
              <w:rPr>
                <w:color w:val="000000"/>
                <w:sz w:val="24"/>
                <w:szCs w:val="24"/>
              </w:rPr>
              <w:t>1.08%</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13.44%</w:t>
            </w:r>
          </w:p>
        </w:tc>
        <w:tc>
          <w:tcPr>
            <w:vAlign w:val="center"/>
          </w:tcPr>
          <w:p>
            <w:pPr>
              <w:jc w:val="center"/>
            </w:pPr>
            <w:r>
              <w:rPr>
                <w:color w:val="000000"/>
                <w:sz w:val="24"/>
                <w:szCs w:val="24"/>
              </w:rPr>
              <w:t>0.64%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交银施罗德数据产业灵活配置混合型证券投资基金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2016年8月16日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田彧龙</w:t>
            </w:r>
          </w:p>
        </w:tc>
        <w:tc>
          <w:tcPr>
            <w:vAlign w:val="center"/>
          </w:tcPr>
          <w:p>
            <w:pPr>
              <w:jc w:val="center"/>
            </w:pPr>
            <w:r>
              <w:rPr>
                <w:color w:val="000000"/>
                <w:sz w:val="24"/>
                <w:szCs w:val="24"/>
              </w:rPr>
              <w:t>交银数据产业灵活配置混合的基金经理</w:t>
            </w:r>
          </w:p>
        </w:tc>
        <w:tc>
          <w:tcPr>
            <w:vAlign w:val="center"/>
          </w:tcPr>
          <w:p>
            <w:pPr>
              <w:jc w:val="center"/>
            </w:pPr>
            <w:r>
              <w:rPr>
                <w:color w:val="000000"/>
                <w:sz w:val="24"/>
                <w:szCs w:val="24"/>
              </w:rPr>
              <w:t>2019-05-14</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田彧龙先生，上海交通大学金融学硕士，浙江大学光电信息工程学学士。2014年7月加入交银施罗德基金管理有限公司，历任行业分析师、基金经理助理。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市场成长风格继续，新能源汽车和传媒等板块表现优异，与此同时，低位价值股也在进行补涨。宏观层面，流动性整体较为宽松，有利于风险偏好阶段性提升。整体来看，在新的一轮科技赋能周期下，中国科技公司仍将大有可为。</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仍然看好以TMT为代表的数据产业等领域。我们将相应地优化持仓结构，保留核心仓位，减持部分超涨个股。长期来看，我们认为新的一轮科技周期已经开始，将重点在半导体、云计算以及5G后周期等领域挖掘个股，力争为投资人创造持续稳定的超额回报。与此同时，我们关注到科创板有越来越多优质公司开始出现，这些公司管理架构优异，机制灵活，相信中长期来看，科创板或将会诞生伟大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1,298,131,892.53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1,298,131,892.53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50,058,000.00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50,058,000.00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217,983,637.33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90,658,284.75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1,656,831,814.61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26,961,247.00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773,629,635.83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248,197,868.09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42,494,760.00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76,458,028.00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47,529,821.03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20,518,730.40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3,573,600.00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58,761,624.14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1,298,131,892.53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85.71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7,060,068</w:t>
            </w:r>
          </w:p>
        </w:tc>
        <w:tc>
          <w:tcPr>
            <w:vAlign w:val="center"/>
          </w:tcPr>
          <w:p>
            <w:pPr>
              <w:jc w:val="right"/>
            </w:pPr>
            <w:r>
              <w:rPr>
                <w:color w:val="000000"/>
                <w:sz w:val="24"/>
                <w:szCs w:val="24"/>
              </w:rPr>
              <w:t>86,697,635.04</w:t>
            </w:r>
          </w:p>
        </w:tc>
        <w:tc>
          <w:tcPr>
            <w:vAlign w:val="center"/>
          </w:tcPr>
          <w:p>
            <w:pPr>
              <w:jc w:val="right"/>
            </w:pPr>
            <w:r>
              <w:rPr>
                <w:color w:val="000000"/>
                <w:sz w:val="24"/>
                <w:szCs w:val="24"/>
              </w:rPr>
              <w:t>5.72</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4,565,623</w:t>
            </w:r>
          </w:p>
        </w:tc>
        <w:tc>
          <w:tcPr>
            <w:vAlign w:val="center"/>
          </w:tcPr>
          <w:p>
            <w:pPr>
              <w:jc w:val="right"/>
            </w:pPr>
            <w:r>
              <w:rPr>
                <w:color w:val="000000"/>
                <w:sz w:val="24"/>
                <w:szCs w:val="24"/>
              </w:rPr>
              <w:t>65,288,408.90</w:t>
            </w:r>
          </w:p>
        </w:tc>
        <w:tc>
          <w:tcPr>
            <w:vAlign w:val="center"/>
          </w:tcPr>
          <w:p>
            <w:pPr>
              <w:jc w:val="right"/>
            </w:pPr>
            <w:r>
              <w:rPr>
                <w:color w:val="000000"/>
                <w:sz w:val="24"/>
                <w:szCs w:val="24"/>
              </w:rPr>
              <w:t>4.31</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2,339,900</w:t>
            </w:r>
          </w:p>
        </w:tc>
        <w:tc>
          <w:tcPr>
            <w:vAlign w:val="center"/>
          </w:tcPr>
          <w:p>
            <w:pPr>
              <w:jc w:val="right"/>
            </w:pPr>
            <w:r>
              <w:rPr>
                <w:color w:val="000000"/>
                <w:sz w:val="24"/>
                <w:szCs w:val="24"/>
              </w:rPr>
              <w:t>63,013,507.00</w:t>
            </w:r>
          </w:p>
        </w:tc>
        <w:tc>
          <w:tcPr>
            <w:vAlign w:val="center"/>
          </w:tcPr>
          <w:p>
            <w:pPr>
              <w:jc w:val="right"/>
            </w:pPr>
            <w:r>
              <w:rPr>
                <w:color w:val="000000"/>
                <w:sz w:val="24"/>
                <w:szCs w:val="24"/>
              </w:rPr>
              <w:t>4.16</w:t>
            </w:r>
          </w:p>
        </w:tc>
      </w:tr>
      <w:tr>
        <w:tc>
          <w:tcPr>
            <w:vAlign w:val="center"/>
          </w:tcPr>
          <w:p>
            <w:pPr>
              <w:jc w:val="center"/>
            </w:pPr>
            <w:r>
              <w:rPr>
                <w:color w:val="000000"/>
                <w:sz w:val="24"/>
                <w:szCs w:val="24"/>
              </w:rPr>
              <w:t>4</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2,165,825</w:t>
            </w:r>
          </w:p>
        </w:tc>
        <w:tc>
          <w:tcPr>
            <w:vAlign w:val="center"/>
          </w:tcPr>
          <w:p>
            <w:pPr>
              <w:jc w:val="right"/>
            </w:pPr>
            <w:r>
              <w:rPr>
                <w:color w:val="000000"/>
                <w:sz w:val="24"/>
                <w:szCs w:val="24"/>
              </w:rPr>
              <w:t>56,982,855.75</w:t>
            </w:r>
          </w:p>
        </w:tc>
        <w:tc>
          <w:tcPr>
            <w:vAlign w:val="center"/>
          </w:tcPr>
          <w:p>
            <w:pPr>
              <w:jc w:val="right"/>
            </w:pPr>
            <w:r>
              <w:rPr>
                <w:color w:val="000000"/>
                <w:sz w:val="24"/>
                <w:szCs w:val="24"/>
              </w:rPr>
              <w:t>3.76</w:t>
            </w:r>
          </w:p>
        </w:tc>
      </w:tr>
      <w:tr>
        <w:tc>
          <w:tcPr>
            <w:vAlign w:val="center"/>
          </w:tcPr>
          <w:p>
            <w:pPr>
              <w:jc w:val="center"/>
            </w:pPr>
            <w:r>
              <w:rPr>
                <w:color w:val="000000"/>
                <w:sz w:val="24"/>
                <w:szCs w:val="24"/>
              </w:rPr>
              <w:t>5</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1,502,858</w:t>
            </w:r>
          </w:p>
        </w:tc>
        <w:tc>
          <w:tcPr>
            <w:vAlign w:val="center"/>
          </w:tcPr>
          <w:p>
            <w:pPr>
              <w:jc w:val="right"/>
            </w:pPr>
            <w:r>
              <w:rPr>
                <w:color w:val="000000"/>
                <w:sz w:val="24"/>
                <w:szCs w:val="24"/>
              </w:rPr>
              <w:t>52,539,915.68</w:t>
            </w:r>
          </w:p>
        </w:tc>
        <w:tc>
          <w:tcPr>
            <w:vAlign w:val="center"/>
          </w:tcPr>
          <w:p>
            <w:pPr>
              <w:jc w:val="right"/>
            </w:pPr>
            <w:r>
              <w:rPr>
                <w:color w:val="000000"/>
                <w:sz w:val="24"/>
                <w:szCs w:val="24"/>
              </w:rPr>
              <w:t>3.47</w:t>
            </w:r>
          </w:p>
        </w:tc>
      </w:tr>
      <w:tr>
        <w:tc>
          <w:tcPr>
            <w:vAlign w:val="center"/>
          </w:tcPr>
          <w:p>
            <w:pPr>
              <w:jc w:val="center"/>
            </w:pPr>
            <w:r>
              <w:rPr>
                <w:color w:val="000000"/>
                <w:sz w:val="24"/>
                <w:szCs w:val="24"/>
              </w:rPr>
              <w:t>6</w:t>
            </w:r>
          </w:p>
        </w:tc>
        <w:tc>
          <w:tcPr>
            <w:vAlign w:val="center"/>
          </w:tcPr>
          <w:p>
            <w:pPr>
              <w:jc w:val="center"/>
            </w:pPr>
            <w:r>
              <w:rPr>
                <w:color w:val="000000"/>
                <w:sz w:val="24"/>
                <w:szCs w:val="24"/>
              </w:rPr>
              <w:t>603986</w:t>
            </w:r>
          </w:p>
        </w:tc>
        <w:tc>
          <w:tcPr>
            <w:vAlign w:val="center"/>
          </w:tcPr>
          <w:p>
            <w:pPr>
              <w:jc w:val="center"/>
            </w:pPr>
            <w:r>
              <w:rPr>
                <w:color w:val="000000"/>
                <w:sz w:val="24"/>
                <w:szCs w:val="24"/>
              </w:rPr>
              <w:t>兆易创新</w:t>
            </w:r>
          </w:p>
        </w:tc>
        <w:tc>
          <w:tcPr>
            <w:vAlign w:val="center"/>
          </w:tcPr>
          <w:p>
            <w:pPr>
              <w:jc w:val="right"/>
            </w:pPr>
            <w:r>
              <w:rPr>
                <w:color w:val="000000"/>
                <w:sz w:val="24"/>
                <w:szCs w:val="24"/>
              </w:rPr>
              <w:t>241,217</w:t>
            </w:r>
          </w:p>
        </w:tc>
        <w:tc>
          <w:tcPr>
            <w:vAlign w:val="center"/>
          </w:tcPr>
          <w:p>
            <w:pPr>
              <w:jc w:val="right"/>
            </w:pPr>
            <w:r>
              <w:rPr>
                <w:color w:val="000000"/>
                <w:sz w:val="24"/>
                <w:szCs w:val="24"/>
              </w:rPr>
              <w:t>49,422,951.13</w:t>
            </w:r>
          </w:p>
        </w:tc>
        <w:tc>
          <w:tcPr>
            <w:vAlign w:val="center"/>
          </w:tcPr>
          <w:p>
            <w:pPr>
              <w:jc w:val="right"/>
            </w:pPr>
            <w:r>
              <w:rPr>
                <w:color w:val="000000"/>
                <w:sz w:val="24"/>
                <w:szCs w:val="24"/>
              </w:rPr>
              <w:t>3.26</w:t>
            </w:r>
          </w:p>
        </w:tc>
      </w:tr>
      <w:tr>
        <w:tc>
          <w:tcPr>
            <w:vAlign w:val="center"/>
          </w:tcPr>
          <w:p>
            <w:pPr>
              <w:jc w:val="center"/>
            </w:pPr>
            <w:r>
              <w:rPr>
                <w:color w:val="000000"/>
                <w:sz w:val="24"/>
                <w:szCs w:val="24"/>
              </w:rPr>
              <w:t>7</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1,003,330</w:t>
            </w:r>
          </w:p>
        </w:tc>
        <w:tc>
          <w:tcPr>
            <w:vAlign w:val="center"/>
          </w:tcPr>
          <w:p>
            <w:pPr>
              <w:jc w:val="right"/>
            </w:pPr>
            <w:r>
              <w:rPr>
                <w:color w:val="000000"/>
                <w:sz w:val="24"/>
                <w:szCs w:val="24"/>
              </w:rPr>
              <w:t>46,604,678.50</w:t>
            </w:r>
          </w:p>
        </w:tc>
        <w:tc>
          <w:tcPr>
            <w:vAlign w:val="center"/>
          </w:tcPr>
          <w:p>
            <w:pPr>
              <w:jc w:val="right"/>
            </w:pPr>
            <w:r>
              <w:rPr>
                <w:color w:val="000000"/>
                <w:sz w:val="24"/>
                <w:szCs w:val="24"/>
              </w:rPr>
              <w:t>3.08</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1,251,731</w:t>
            </w:r>
          </w:p>
        </w:tc>
        <w:tc>
          <w:tcPr>
            <w:vAlign w:val="center"/>
          </w:tcPr>
          <w:p>
            <w:pPr>
              <w:jc w:val="right"/>
            </w:pPr>
            <w:r>
              <w:rPr>
                <w:color w:val="000000"/>
                <w:sz w:val="24"/>
                <w:szCs w:val="24"/>
              </w:rPr>
              <w:t>45,688,181.50</w:t>
            </w:r>
          </w:p>
        </w:tc>
        <w:tc>
          <w:tcPr>
            <w:vAlign w:val="center"/>
          </w:tcPr>
          <w:p>
            <w:pPr>
              <w:jc w:val="right"/>
            </w:pPr>
            <w:r>
              <w:rPr>
                <w:color w:val="000000"/>
                <w:sz w:val="24"/>
                <w:szCs w:val="24"/>
              </w:rPr>
              <w:t>3.02</w:t>
            </w:r>
          </w:p>
        </w:tc>
      </w:tr>
      <w:tr>
        <w:tc>
          <w:tcPr>
            <w:vAlign w:val="center"/>
          </w:tcPr>
          <w:p>
            <w:pPr>
              <w:jc w:val="center"/>
            </w:pPr>
            <w:r>
              <w:rPr>
                <w:color w:val="000000"/>
                <w:sz w:val="24"/>
                <w:szCs w:val="24"/>
              </w:rPr>
              <w:t>9</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2,752,700</w:t>
            </w:r>
          </w:p>
        </w:tc>
        <w:tc>
          <w:tcPr>
            <w:vAlign w:val="center"/>
          </w:tcPr>
          <w:p>
            <w:pPr>
              <w:jc w:val="right"/>
            </w:pPr>
            <w:r>
              <w:rPr>
                <w:color w:val="000000"/>
                <w:sz w:val="24"/>
                <w:szCs w:val="24"/>
              </w:rPr>
              <w:t>44,538,686.00</w:t>
            </w:r>
          </w:p>
        </w:tc>
        <w:tc>
          <w:tcPr>
            <w:vAlign w:val="center"/>
          </w:tcPr>
          <w:p>
            <w:pPr>
              <w:jc w:val="right"/>
            </w:pPr>
            <w:r>
              <w:rPr>
                <w:color w:val="000000"/>
                <w:sz w:val="24"/>
                <w:szCs w:val="24"/>
              </w:rPr>
              <w:t>2.94</w:t>
            </w:r>
          </w:p>
        </w:tc>
      </w:tr>
      <w:tr>
        <w:tc>
          <w:tcPr>
            <w:vAlign w:val="center"/>
          </w:tcPr>
          <w:p>
            <w:pPr>
              <w:jc w:val="center"/>
            </w:pPr>
            <w:r>
              <w:rPr>
                <w:color w:val="000000"/>
                <w:sz w:val="24"/>
                <w:szCs w:val="24"/>
              </w:rPr>
              <w:t>10</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2,226,469</w:t>
            </w:r>
          </w:p>
        </w:tc>
        <w:tc>
          <w:tcPr>
            <w:vAlign w:val="center"/>
          </w:tcPr>
          <w:p>
            <w:pPr>
              <w:jc w:val="right"/>
            </w:pPr>
            <w:r>
              <w:rPr>
                <w:color w:val="000000"/>
                <w:sz w:val="24"/>
                <w:szCs w:val="24"/>
              </w:rPr>
              <w:t>42,592,351.97</w:t>
            </w:r>
          </w:p>
        </w:tc>
        <w:tc>
          <w:tcPr>
            <w:vAlign w:val="center"/>
          </w:tcPr>
          <w:p>
            <w:pPr>
              <w:jc w:val="right"/>
            </w:pPr>
            <w:r>
              <w:rPr>
                <w:color w:val="000000"/>
                <w:sz w:val="24"/>
                <w:szCs w:val="24"/>
              </w:rPr>
              <w:t>2.81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20,012,000.00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1.32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30,046,000.00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30,046,000.00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50,058,000.00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20,032,000.00</w:t>
            </w:r>
          </w:p>
        </w:tc>
        <w:tc>
          <w:tcPr>
            <w:vAlign w:val="center"/>
          </w:tcPr>
          <w:p>
            <w:pPr>
              <w:jc w:val="right"/>
            </w:pPr>
            <w:r>
              <w:rPr>
                <w:color w:val="000000"/>
                <w:sz w:val="24"/>
                <w:szCs w:val="24"/>
              </w:rPr>
              <w:t>1.32</w:t>
            </w:r>
          </w:p>
        </w:tc>
      </w:tr>
      <w:tr>
        <w:tc>
          <w:tcPr>
            <w:vAlign w:val="center"/>
          </w:tcPr>
          <w:p>
            <w:pPr>
              <w:jc w:val="center"/>
            </w:pPr>
            <w:r>
              <w:rPr>
                <w:color w:val="000000"/>
                <w:sz w:val="24"/>
                <w:szCs w:val="24"/>
              </w:rPr>
              <w:t>2</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200,000</w:t>
            </w:r>
          </w:p>
        </w:tc>
        <w:tc>
          <w:tcPr>
            <w:vAlign w:val="center"/>
          </w:tcPr>
          <w:p>
            <w:pPr>
              <w:jc w:val="right"/>
            </w:pPr>
            <w:r>
              <w:rPr>
                <w:color w:val="000000"/>
                <w:sz w:val="24"/>
                <w:szCs w:val="24"/>
              </w:rPr>
              <w:t>20,012,000.00</w:t>
            </w:r>
          </w:p>
        </w:tc>
        <w:tc>
          <w:tcPr>
            <w:vAlign w:val="center"/>
          </w:tcPr>
          <w:p>
            <w:pPr>
              <w:jc w:val="right"/>
            </w:pPr>
            <w:r>
              <w:rPr>
                <w:color w:val="000000"/>
                <w:sz w:val="24"/>
                <w:szCs w:val="24"/>
              </w:rPr>
              <w:t>1.32</w:t>
            </w:r>
          </w:p>
        </w:tc>
      </w:tr>
      <w:tr>
        <w:tc>
          <w:tcPr>
            <w:vAlign w:val="center"/>
          </w:tcPr>
          <w:p>
            <w:pPr>
              <w:jc w:val="center"/>
            </w:pPr>
            <w:r>
              <w:rPr>
                <w:color w:val="000000"/>
                <w:sz w:val="24"/>
                <w:szCs w:val="24"/>
              </w:rPr>
              <w:t>3</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100,000</w:t>
            </w:r>
          </w:p>
        </w:tc>
        <w:tc>
          <w:tcPr>
            <w:vAlign w:val="center"/>
          </w:tcPr>
          <w:p>
            <w:pPr>
              <w:jc w:val="right"/>
            </w:pPr>
            <w:r>
              <w:rPr>
                <w:color w:val="000000"/>
                <w:sz w:val="24"/>
                <w:szCs w:val="24"/>
              </w:rPr>
              <w:t>10,014,000.00</w:t>
            </w:r>
          </w:p>
        </w:tc>
        <w:tc>
          <w:tcPr>
            <w:vAlign w:val="center"/>
          </w:tcPr>
          <w:p>
            <w:pPr>
              <w:jc w:val="right"/>
            </w:pPr>
            <w:r>
              <w:rPr>
                <w:color w:val="000000"/>
                <w:sz w:val="24"/>
                <w:szCs w:val="24"/>
              </w:rPr>
              <w:t>0.66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445,250.57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923,417.70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89,289,616.48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90,658,284.75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683,131,730.74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787,235,909.34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265,129,026.37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1,205,238,613.71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1、中国证监会准予交银施罗德数据产业灵活配置混合型证券投资基金募集注册的文件；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2、《交银施罗德数据产业灵活配置混合型证券投资基金基金合同》；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3、《交银施罗德数据产业灵活配置混合型证券投资基金招募说明书》；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4、《交银施罗德数据产业灵活配置混合型证券投资基金托管协议》；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5、关于申请募集注册交银施罗德数据产业灵活配置混合型证券投资基金的法律意见书；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8、报告期内交银施罗德数据产业灵活配置混合型证券投资基金在指定报刊上各项公告的原稿。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交银施罗德数据产业灵活配置混合型证券投资基金2019年第4季度报告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