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交银施罗德理财60天债券型证券投资基金</w:t>
      </w:r>
    </w:p>
    <w:p w:rsidP="00281564" w:rsidR="00B60E27" w:rsidRDefault="00B60E27" w:rsidRPr="001E1B20">
      <w:pPr>
        <w:spacing w:before="29" w:line="288" w:lineRule="auto"/>
        <w:jc w:val="center"/>
        <w:rPr>
          <w:b/>
          <w:sz w:val="36"/>
          <w:szCs w:val="36"/>
        </w:rPr>
      </w:pPr>
      <w:r w:rsidRPr="001E1B20">
        <w:rPr>
          <w:b/>
          <w:sz w:val="36"/>
          <w:szCs w:val="36"/>
        </w:rPr>
        <w:t>2019年第4季度报告</w:t>
      </w:r>
    </w:p>
    <w:p w:rsidP="00281564" w:rsidR="002B45A4" w:rsidRDefault="00D87D00" w:rsidRPr="001E1B20">
      <w:pPr>
        <w:spacing w:before="29" w:line="288" w:lineRule="auto"/>
        <w:jc w:val="center"/>
        <w:rPr>
          <w:b/>
          <w:sz w:val="36"/>
          <w:szCs w:val="36"/>
        </w:rPr>
      </w:pPr>
      <w:r w:rsidRPr="001E1B20">
        <w:rPr>
          <w:b/>
          <w:sz w:val="36"/>
          <w:szCs w:val="36"/>
        </w:rPr>
        <w:t>2019年12月31日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中国建设银行股份有限公司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交银理财60天债券</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2013年3月13日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7,095,129,673.72</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本基金属于短期理财债券型证券投资基金，长期风险收益水平低于股票型基金、混合型基金及普通债券型基金，高于货币市场型证券投资基金。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交银理财60天债券A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交银理财60天债券B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519721</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519722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5,498,988.29</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7,089,630,685.43</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(2019年10月1日-2019年12月31日)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交银理财60天债券A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交银理财60天债券B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56,391.33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55,576,978.98</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56,391.33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55,576,978.98</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5,498,988.29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7,089,630,685.43</w:t>
            </w:r>
          </w:p>
        </w:tc>
      </w:tr>
    </w:tbl>
    <w:p>
      <w:pPr>
        <w:autoSpaceDE w:val="0"/>
        <w:autoSpaceDN w:val="0"/>
        <w:adjustRightInd w:val="0"/>
        <w:spacing w:before="29" w:line="288" w:lineRule="auto"/>
        <w:jc w:val="left"/>
        <w:rPr>
          <w:color w:val="000000"/>
          <w:sz w:val="24"/>
        </w:rPr>
      </w:pPr>
      <w:r>
        <w:rPr>
          <w:color w:val="000000"/>
          <w:sz w:val="24"/>
        </w:rPr>
        <w:t>注：1、自合同生效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交银理财60天债券A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0.6448%</w:t>
            </w:r>
          </w:p>
        </w:tc>
        <w:tc>
          <w:tcPr>
            <w:vAlign w:val="center"/>
          </w:tcPr>
          <w:p>
            <w:pPr>
              <w:jc w:val="center"/>
            </w:pPr>
            <w:r>
              <w:rPr>
                <w:rFonts w:ascii="Times New Roman" w:hAnsi="Times New Roman"/>
                <w:color w:val="000000"/>
              </w:rPr>
              <w:t>0.0017%</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0.3045%</w:t>
            </w:r>
          </w:p>
        </w:tc>
        <w:tc>
          <w:tcPr>
            <w:vAlign w:val="center"/>
          </w:tcPr>
          <w:p>
            <w:pPr>
              <w:jc w:val="center"/>
            </w:pPr>
            <w:r>
              <w:rPr>
                <w:rFonts w:ascii="Times New Roman" w:hAnsi="Times New Roman"/>
                <w:color w:val="000000"/>
              </w:rPr>
              <w:t>0.0017%</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 xml:space="preserve">    2、本基金每日计算当日收益并分配，并在运作期期末集中支付。</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交银理财60天债券B</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0.7187%</w:t>
            </w:r>
          </w:p>
        </w:tc>
        <w:tc>
          <w:tcPr>
            <w:vAlign w:val="center"/>
          </w:tcPr>
          <w:p>
            <w:pPr>
              <w:jc w:val="center"/>
            </w:pPr>
            <w:r>
              <w:rPr>
                <w:rFonts w:ascii="Times New Roman" w:hAnsi="Times New Roman"/>
                <w:color w:val="000000"/>
              </w:rPr>
              <w:t>0.0017%</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0.3784%</w:t>
            </w:r>
          </w:p>
        </w:tc>
        <w:tc>
          <w:tcPr>
            <w:vAlign w:val="center"/>
          </w:tcPr>
          <w:p>
            <w:pPr>
              <w:jc w:val="center"/>
            </w:pPr>
            <w:r>
              <w:rPr>
                <w:rFonts w:ascii="Times New Roman" w:hAnsi="Times New Roman"/>
                <w:color w:val="000000"/>
              </w:rPr>
              <w:t>0.0017%</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 xml:space="preserve">    2、本基金每日计算当日收益并分配，并在运作期期末集中支付。</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交银施罗德理财60天债券型证券投资基金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2013年3月13日</w:t>
      </w:r>
      <w:r w:rsidR="00A7219D" w:rsidRPr="000E4C40">
        <w:rPr>
          <w:rFonts w:hAnsi="宋体"/>
          <w:color w:val="000000"/>
          <w:kern w:val="0"/>
          <w:sz w:val="24"/>
        </w:rPr>
        <w:t>至</w:t>
      </w:r>
      <w:r w:rsidR="00A7219D" w:rsidRPr="000E4C40">
        <w:rPr>
          <w:color w:val="000000"/>
          <w:kern w:val="0"/>
          <w:sz w:val="24"/>
        </w:rPr>
        <w:t>2019年12月31日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交银理财60天债券A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注：本基金建仓期为自基金合同生效日起的2个月。截至建仓期结束，本基金各项资产配置比例符合基金合同及招募说明书有关投资比例的约定。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交银理财60天债券B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注：本基金建仓期为自基金合同生效日起的2个月。截至建仓期结束，本基金各项资产配置比例符合基金合同及招募说明书有关投资比例的约定。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2015-10-16</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国内部分经济数据有所企稳，但整体上经济依然有下行压力。国内制造业景气度有低位回升迹象，十一月中采制造业PMI重返荣枯线以上，财新PMI自八月至十一月持续企稳回升。十月至十一月PPI同比降幅收窄，工业增加值同比增速上升，但FAI同比增速依然处于下行通道之中。四季度，中美贸易谈判取得重要进展，十二月中美宣布就第一阶段经贸协议文本达成一致，贸易战暂时缓和。受猪肉价格大幅上涨等因素影响，四季度CPI大幅上升至4%以上。货币政策上，受经济下行与贷款利率居高等影响，四季度央行加强逆周期调节力度。2019年11月5日央行小幅下调MLF利率5个BP，并且于当月18日同等幅度下调七天逆回购利率，释放了温和降息的信号。四季度央行加大力度呵护市场流动性，在公开市场净投放8000亿以上。</w:t>
      </w:r>
    </w:p>
    <w:p>
      <w:pPr>
        <w:spacing w:before="29" w:line="288" w:lineRule="auto"/>
        <w:ind w:firstLine="480" w:firstLineChars="200"/>
        <w:rPr>
          <w:color w:val="000000"/>
          <w:sz w:val="24"/>
        </w:rPr>
      </w:pPr>
      <w:r>
        <w:rPr>
          <w:color w:val="000000"/>
          <w:sz w:val="24"/>
        </w:rPr>
        <w:t>资金面上，四季度银行间货币市场资金面从紧平衡转向偏宽松，资金价格中枢呈前高后低走势。十月受央行公开市场净回笼及缴税等因素影响，银行间市场资金面曾一度趋紧，资金价格攀升。但在十一月央行小幅降息，尤其在十二月为了呵护市场平稳跨年，央行加大公开市场净投放力度，资金面比较宽松，资金价格大幅下行。四季度存单与存款收益率中枢自十月至十一月中上旬曾持续继续走高。但是受央行公开市场降息及宽松资金面的影响，十一月下旬后存单存款收益率已呈回落走势，十二月中下旬更是显著下降。四季度，债市整体上呈先跌后涨走势。受央行宽松不及预期，中美贸易谈判进展向好，及CPI显著走高等影响，十月至十一月上旬债市继续调整。但在2019年11月5日央行公开市场超预期降息后，债市止跌回暖。十一月下旬至十二月中旬，曾有所回调，但十二月下旬在宽松的资金面及摊余成本债基买盘等推动下，债市再次上涨。</w:t>
      </w:r>
    </w:p>
    <w:p>
      <w:pPr>
        <w:spacing w:before="29" w:line="288" w:lineRule="auto"/>
        <w:ind w:firstLine="480" w:firstLineChars="200"/>
        <w:rPr>
          <w:color w:val="000000"/>
          <w:sz w:val="24"/>
        </w:rPr>
      </w:pPr>
      <w:r>
        <w:rPr>
          <w:color w:val="000000"/>
          <w:sz w:val="24"/>
        </w:rPr>
        <w:t>基金操作方面，报告期内本基金提升流动性以期满足基金份额持有人潜在赎回需求，同时管控信用风险，择机调整组合杠杆与久期。根据市场情况灵活调整存款存单与短融等投资品种的配置比例，择机加大存款存单、以及短融等的配置力度，为持有人创造了稳健的回报。</w:t>
      </w:r>
    </w:p>
    <w:p w:rsidP="00281564" w:rsidR="00C4627A" w:rsidRDefault="00C4627A" w:rsidRPr="000E4C40">
      <w:pPr>
        <w:spacing w:before="29" w:line="288" w:lineRule="auto"/>
        <w:ind w:firstLine="480" w:firstLineChars="200"/>
        <w:rPr>
          <w:color w:val="000000"/>
          <w:sz w:val="24"/>
        </w:rPr>
      </w:pPr>
      <w:r w:rsidRPr="000E4C40">
        <w:rPr>
          <w:color w:val="000000"/>
          <w:sz w:val="24"/>
        </w:rPr>
        <w:t>展望2020年一季度，国内经济继续放缓风险依然存在。但考虑到中美贸易谈判取得进展、政府稳增长与逆周期调节政策力度加强等因素，边际放缓幅度可能继续收敛。我们预计一季度CPI同比可能继续走高，同时短期内央行货币政策将维持中性偏松，保持逆周期调节作用。我们将密切关注银保监会关于银行理财监管政策的推进情况、专项债等逆周期财政政策进展、以及中美贸易谈判后续进展情况等。组合管理方面，本基金将跟踪研判宏观经济走势与央行货币政策操作，保持较好的流动性，把握市场波动机会，控制风险，努力为投资者创造稳健的回报。</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6,076,077,745.20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77.40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6,076,077,745.20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77.40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1,751,376,445.57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22.31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23,101,962.92</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0.29</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7,850,556,153.69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10.06</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728,114,015.90</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10.26</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本基金合同约定：“本基金进入全国银行间同业市场进行债券回购的资金余额不得超过基金资产净值的40%”。本报告期内，本基金未发生超标情况。</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100</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104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59</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本基金合同约定：“本基金投资组合的平均剩余期限控制在180 天（含）以内。”本基金本报告期内投资组合平均剩余期限未超过180天。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1.43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10.26</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23.80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60.49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3.53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21.08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110.32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10.26</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189,531,519.79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2.67</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220,205,260.69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3.10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220,205,260.69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3.10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1,639,217,593.10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23.10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4,027,123,371.62</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56.76</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6,076,077,745.20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85.64</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111909327</w:t>
            </w:r>
          </w:p>
        </w:tc>
        <w:tc>
          <w:tcPr>
            <w:vAlign w:val="center"/>
          </w:tcPr>
          <w:p>
            <w:pPr>
              <w:jc w:val="center"/>
            </w:pPr>
            <w:r>
              <w:rPr>
                <w:color w:val="000000"/>
                <w:sz w:val="24"/>
              </w:rPr>
              <w:t>19浦发银行CD327</w:t>
            </w:r>
          </w:p>
        </w:tc>
        <w:tc>
          <w:tcPr>
            <w:vAlign w:val="center"/>
          </w:tcPr>
          <w:p>
            <w:pPr>
              <w:jc w:val="right"/>
            </w:pPr>
            <w:r>
              <w:rPr>
                <w:color w:val="000000"/>
                <w:sz w:val="24"/>
              </w:rPr>
              <w:t>7,500,000</w:t>
            </w:r>
          </w:p>
        </w:tc>
        <w:tc>
          <w:tcPr>
            <w:vAlign w:val="center"/>
          </w:tcPr>
          <w:p>
            <w:pPr>
              <w:jc w:val="right"/>
            </w:pPr>
            <w:r>
              <w:rPr>
                <w:color w:val="000000"/>
                <w:sz w:val="24"/>
              </w:rPr>
              <w:t>734,531,582.58</w:t>
            </w:r>
          </w:p>
        </w:tc>
        <w:tc>
          <w:tcPr>
            <w:vAlign w:val="center"/>
          </w:tcPr>
          <w:p>
            <w:pPr>
              <w:jc w:val="right"/>
            </w:pPr>
            <w:r>
              <w:rPr>
                <w:color w:val="000000"/>
                <w:sz w:val="24"/>
              </w:rPr>
              <w:t>10.35</w:t>
            </w:r>
          </w:p>
        </w:tc>
      </w:tr>
      <w:tr>
        <w:tc>
          <w:tcPr>
            <w:vAlign w:val="center"/>
          </w:tcPr>
          <w:p>
            <w:pPr>
              <w:jc w:val="center"/>
            </w:pPr>
            <w:r>
              <w:rPr>
                <w:color w:val="000000"/>
                <w:sz w:val="24"/>
              </w:rPr>
              <w:t>2</w:t>
            </w:r>
          </w:p>
        </w:tc>
        <w:tc>
          <w:tcPr>
            <w:vAlign w:val="center"/>
          </w:tcPr>
          <w:p>
            <w:pPr>
              <w:jc w:val="center"/>
            </w:pPr>
            <w:r>
              <w:rPr>
                <w:color w:val="000000"/>
                <w:sz w:val="24"/>
              </w:rPr>
              <w:t>111914113</w:t>
            </w:r>
          </w:p>
        </w:tc>
        <w:tc>
          <w:tcPr>
            <w:vAlign w:val="center"/>
          </w:tcPr>
          <w:p>
            <w:pPr>
              <w:jc w:val="center"/>
            </w:pPr>
            <w:r>
              <w:rPr>
                <w:color w:val="000000"/>
                <w:sz w:val="24"/>
              </w:rPr>
              <w:t>19江苏银行CD113</w:t>
            </w:r>
          </w:p>
        </w:tc>
        <w:tc>
          <w:tcPr>
            <w:vAlign w:val="center"/>
          </w:tcPr>
          <w:p>
            <w:pPr>
              <w:jc w:val="right"/>
            </w:pPr>
            <w:r>
              <w:rPr>
                <w:color w:val="000000"/>
                <w:sz w:val="24"/>
              </w:rPr>
              <w:t>3,500,000</w:t>
            </w:r>
          </w:p>
        </w:tc>
        <w:tc>
          <w:tcPr>
            <w:vAlign w:val="center"/>
          </w:tcPr>
          <w:p>
            <w:pPr>
              <w:jc w:val="right"/>
            </w:pPr>
            <w:r>
              <w:rPr>
                <w:color w:val="000000"/>
                <w:sz w:val="24"/>
              </w:rPr>
              <w:t>347,488,762.85</w:t>
            </w:r>
          </w:p>
        </w:tc>
        <w:tc>
          <w:tcPr>
            <w:vAlign w:val="center"/>
          </w:tcPr>
          <w:p>
            <w:pPr>
              <w:jc w:val="right"/>
            </w:pPr>
            <w:r>
              <w:rPr>
                <w:color w:val="000000"/>
                <w:sz w:val="24"/>
              </w:rPr>
              <w:t>4.90</w:t>
            </w:r>
          </w:p>
        </w:tc>
      </w:tr>
      <w:tr>
        <w:tc>
          <w:tcPr>
            <w:vAlign w:val="center"/>
          </w:tcPr>
          <w:p>
            <w:pPr>
              <w:jc w:val="center"/>
            </w:pPr>
            <w:r>
              <w:rPr>
                <w:color w:val="000000"/>
                <w:sz w:val="24"/>
              </w:rPr>
              <w:t>3</w:t>
            </w:r>
          </w:p>
        </w:tc>
        <w:tc>
          <w:tcPr>
            <w:vAlign w:val="center"/>
          </w:tcPr>
          <w:p>
            <w:pPr>
              <w:jc w:val="center"/>
            </w:pPr>
            <w:r>
              <w:rPr>
                <w:color w:val="000000"/>
                <w:sz w:val="24"/>
              </w:rPr>
              <w:t>111980945</w:t>
            </w:r>
          </w:p>
        </w:tc>
        <w:tc>
          <w:tcPr>
            <w:vAlign w:val="center"/>
          </w:tcPr>
          <w:p>
            <w:pPr>
              <w:jc w:val="center"/>
            </w:pPr>
            <w:r>
              <w:rPr>
                <w:color w:val="000000"/>
                <w:sz w:val="24"/>
              </w:rPr>
              <w:t>19广州农村商业银行CD073</w:t>
            </w:r>
          </w:p>
        </w:tc>
        <w:tc>
          <w:tcPr>
            <w:vAlign w:val="center"/>
          </w:tcPr>
          <w:p>
            <w:pPr>
              <w:jc w:val="right"/>
            </w:pPr>
            <w:r>
              <w:rPr>
                <w:color w:val="000000"/>
                <w:sz w:val="24"/>
              </w:rPr>
              <w:t>2,500,000</w:t>
            </w:r>
          </w:p>
        </w:tc>
        <w:tc>
          <w:tcPr>
            <w:vAlign w:val="center"/>
          </w:tcPr>
          <w:p>
            <w:pPr>
              <w:jc w:val="right"/>
            </w:pPr>
            <w:r>
              <w:rPr>
                <w:color w:val="000000"/>
                <w:sz w:val="24"/>
              </w:rPr>
              <w:t>248,252,068.61</w:t>
            </w:r>
          </w:p>
        </w:tc>
        <w:tc>
          <w:tcPr>
            <w:vAlign w:val="center"/>
          </w:tcPr>
          <w:p>
            <w:pPr>
              <w:jc w:val="right"/>
            </w:pPr>
            <w:r>
              <w:rPr>
                <w:color w:val="000000"/>
                <w:sz w:val="24"/>
              </w:rPr>
              <w:t>3.50</w:t>
            </w:r>
          </w:p>
        </w:tc>
      </w:tr>
      <w:tr>
        <w:tc>
          <w:tcPr>
            <w:vAlign w:val="center"/>
          </w:tcPr>
          <w:p>
            <w:pPr>
              <w:jc w:val="center"/>
            </w:pPr>
            <w:r>
              <w:rPr>
                <w:color w:val="000000"/>
                <w:sz w:val="24"/>
              </w:rPr>
              <w:t>4</w:t>
            </w:r>
          </w:p>
        </w:tc>
        <w:tc>
          <w:tcPr>
            <w:vAlign w:val="center"/>
          </w:tcPr>
          <w:p>
            <w:pPr>
              <w:jc w:val="center"/>
            </w:pPr>
            <w:r>
              <w:rPr>
                <w:color w:val="000000"/>
                <w:sz w:val="24"/>
              </w:rPr>
              <w:t>111913047</w:t>
            </w:r>
          </w:p>
        </w:tc>
        <w:tc>
          <w:tcPr>
            <w:vAlign w:val="center"/>
          </w:tcPr>
          <w:p>
            <w:pPr>
              <w:jc w:val="center"/>
            </w:pPr>
            <w:r>
              <w:rPr>
                <w:color w:val="000000"/>
                <w:sz w:val="24"/>
              </w:rPr>
              <w:t>19浙商银行CD047</w:t>
            </w:r>
          </w:p>
        </w:tc>
        <w:tc>
          <w:tcPr>
            <w:vAlign w:val="center"/>
          </w:tcPr>
          <w:p>
            <w:pPr>
              <w:jc w:val="right"/>
            </w:pPr>
            <w:r>
              <w:rPr>
                <w:color w:val="000000"/>
                <w:sz w:val="24"/>
              </w:rPr>
              <w:t>2,500,000</w:t>
            </w:r>
          </w:p>
        </w:tc>
        <w:tc>
          <w:tcPr>
            <w:vAlign w:val="center"/>
          </w:tcPr>
          <w:p>
            <w:pPr>
              <w:jc w:val="right"/>
            </w:pPr>
            <w:r>
              <w:rPr>
                <w:color w:val="000000"/>
                <w:sz w:val="24"/>
              </w:rPr>
              <w:t>248,241,062.44</w:t>
            </w:r>
          </w:p>
        </w:tc>
        <w:tc>
          <w:tcPr>
            <w:vAlign w:val="center"/>
          </w:tcPr>
          <w:p>
            <w:pPr>
              <w:jc w:val="right"/>
            </w:pPr>
            <w:r>
              <w:rPr>
                <w:color w:val="000000"/>
                <w:sz w:val="24"/>
              </w:rPr>
              <w:t>3.50</w:t>
            </w:r>
          </w:p>
        </w:tc>
      </w:tr>
      <w:tr>
        <w:tc>
          <w:tcPr>
            <w:vAlign w:val="center"/>
          </w:tcPr>
          <w:p>
            <w:pPr>
              <w:jc w:val="center"/>
            </w:pPr>
            <w:r>
              <w:rPr>
                <w:color w:val="000000"/>
                <w:sz w:val="24"/>
              </w:rPr>
              <w:t>5</w:t>
            </w:r>
          </w:p>
        </w:tc>
        <w:tc>
          <w:tcPr>
            <w:vAlign w:val="center"/>
          </w:tcPr>
          <w:p>
            <w:pPr>
              <w:jc w:val="center"/>
            </w:pPr>
            <w:r>
              <w:rPr>
                <w:color w:val="000000"/>
                <w:sz w:val="24"/>
              </w:rPr>
              <w:t>111913075</w:t>
            </w:r>
          </w:p>
        </w:tc>
        <w:tc>
          <w:tcPr>
            <w:vAlign w:val="center"/>
          </w:tcPr>
          <w:p>
            <w:pPr>
              <w:jc w:val="center"/>
            </w:pPr>
            <w:r>
              <w:rPr>
                <w:color w:val="000000"/>
                <w:sz w:val="24"/>
              </w:rPr>
              <w:t>19浙商银行CD075</w:t>
            </w:r>
          </w:p>
        </w:tc>
        <w:tc>
          <w:tcPr>
            <w:vAlign w:val="center"/>
          </w:tcPr>
          <w:p>
            <w:pPr>
              <w:jc w:val="right"/>
            </w:pPr>
            <w:r>
              <w:rPr>
                <w:color w:val="000000"/>
                <w:sz w:val="24"/>
              </w:rPr>
              <w:t>2,200,000</w:t>
            </w:r>
          </w:p>
        </w:tc>
        <w:tc>
          <w:tcPr>
            <w:vAlign w:val="center"/>
          </w:tcPr>
          <w:p>
            <w:pPr>
              <w:jc w:val="right"/>
            </w:pPr>
            <w:r>
              <w:rPr>
                <w:color w:val="000000"/>
                <w:sz w:val="24"/>
              </w:rPr>
              <w:t>218,688,555.14</w:t>
            </w:r>
          </w:p>
        </w:tc>
        <w:tc>
          <w:tcPr>
            <w:vAlign w:val="center"/>
          </w:tcPr>
          <w:p>
            <w:pPr>
              <w:jc w:val="right"/>
            </w:pPr>
            <w:r>
              <w:rPr>
                <w:color w:val="000000"/>
                <w:sz w:val="24"/>
              </w:rPr>
              <w:t>3.08</w:t>
            </w:r>
          </w:p>
        </w:tc>
      </w:tr>
      <w:tr>
        <w:tc>
          <w:tcPr>
            <w:vAlign w:val="center"/>
          </w:tcPr>
          <w:p>
            <w:pPr>
              <w:jc w:val="center"/>
            </w:pPr>
            <w:r>
              <w:rPr>
                <w:color w:val="000000"/>
                <w:sz w:val="24"/>
              </w:rPr>
              <w:t>6</w:t>
            </w:r>
          </w:p>
        </w:tc>
        <w:tc>
          <w:tcPr>
            <w:vAlign w:val="center"/>
          </w:tcPr>
          <w:p>
            <w:pPr>
              <w:jc w:val="center"/>
            </w:pPr>
            <w:r>
              <w:rPr>
                <w:color w:val="000000"/>
                <w:sz w:val="24"/>
              </w:rPr>
              <w:t>111988335</w:t>
            </w:r>
          </w:p>
        </w:tc>
        <w:tc>
          <w:tcPr>
            <w:vAlign w:val="center"/>
          </w:tcPr>
          <w:p>
            <w:pPr>
              <w:jc w:val="center"/>
            </w:pPr>
            <w:r>
              <w:rPr>
                <w:color w:val="000000"/>
                <w:sz w:val="24"/>
              </w:rPr>
              <w:t>19南京银行CD072</w:t>
            </w:r>
          </w:p>
        </w:tc>
        <w:tc>
          <w:tcPr>
            <w:vAlign w:val="center"/>
          </w:tcPr>
          <w:p>
            <w:pPr>
              <w:jc w:val="right"/>
            </w:pPr>
            <w:r>
              <w:rPr>
                <w:color w:val="000000"/>
                <w:sz w:val="24"/>
              </w:rPr>
              <w:t>2,200,000</w:t>
            </w:r>
          </w:p>
        </w:tc>
        <w:tc>
          <w:tcPr>
            <w:vAlign w:val="center"/>
          </w:tcPr>
          <w:p>
            <w:pPr>
              <w:jc w:val="right"/>
            </w:pPr>
            <w:r>
              <w:rPr>
                <w:color w:val="000000"/>
                <w:sz w:val="24"/>
              </w:rPr>
              <w:t>218,654,149.21</w:t>
            </w:r>
          </w:p>
        </w:tc>
        <w:tc>
          <w:tcPr>
            <w:vAlign w:val="center"/>
          </w:tcPr>
          <w:p>
            <w:pPr>
              <w:jc w:val="right"/>
            </w:pPr>
            <w:r>
              <w:rPr>
                <w:color w:val="000000"/>
                <w:sz w:val="24"/>
              </w:rPr>
              <w:t>3.08</w:t>
            </w:r>
          </w:p>
        </w:tc>
      </w:tr>
      <w:tr>
        <w:tc>
          <w:tcPr>
            <w:vAlign w:val="center"/>
          </w:tcPr>
          <w:p>
            <w:pPr>
              <w:jc w:val="center"/>
            </w:pPr>
            <w:r>
              <w:rPr>
                <w:color w:val="000000"/>
                <w:sz w:val="24"/>
              </w:rPr>
              <w:t>7</w:t>
            </w:r>
          </w:p>
        </w:tc>
        <w:tc>
          <w:tcPr>
            <w:vAlign w:val="center"/>
          </w:tcPr>
          <w:p>
            <w:pPr>
              <w:jc w:val="center"/>
            </w:pPr>
            <w:r>
              <w:rPr>
                <w:color w:val="000000"/>
                <w:sz w:val="24"/>
              </w:rPr>
              <w:t>111988009</w:t>
            </w:r>
          </w:p>
        </w:tc>
        <w:tc>
          <w:tcPr>
            <w:vAlign w:val="center"/>
          </w:tcPr>
          <w:p>
            <w:pPr>
              <w:jc w:val="center"/>
            </w:pPr>
            <w:r>
              <w:rPr>
                <w:color w:val="000000"/>
                <w:sz w:val="24"/>
              </w:rPr>
              <w:t>19东莞农村商业银行CD071</w:t>
            </w:r>
          </w:p>
        </w:tc>
        <w:tc>
          <w:tcPr>
            <w:vAlign w:val="center"/>
          </w:tcPr>
          <w:p>
            <w:pPr>
              <w:jc w:val="right"/>
            </w:pPr>
            <w:r>
              <w:rPr>
                <w:color w:val="000000"/>
                <w:sz w:val="24"/>
              </w:rPr>
              <w:t>2,200,000</w:t>
            </w:r>
          </w:p>
        </w:tc>
        <w:tc>
          <w:tcPr>
            <w:vAlign w:val="center"/>
          </w:tcPr>
          <w:p>
            <w:pPr>
              <w:jc w:val="right"/>
            </w:pPr>
            <w:r>
              <w:rPr>
                <w:color w:val="000000"/>
                <w:sz w:val="24"/>
              </w:rPr>
              <w:t>218,652,792.98</w:t>
            </w:r>
          </w:p>
        </w:tc>
        <w:tc>
          <w:tcPr>
            <w:vAlign w:val="center"/>
          </w:tcPr>
          <w:p>
            <w:pPr>
              <w:jc w:val="right"/>
            </w:pPr>
            <w:r>
              <w:rPr>
                <w:color w:val="000000"/>
                <w:sz w:val="24"/>
              </w:rPr>
              <w:t>3.08</w:t>
            </w:r>
          </w:p>
        </w:tc>
      </w:tr>
      <w:tr>
        <w:tc>
          <w:tcPr>
            <w:vAlign w:val="center"/>
          </w:tcPr>
          <w:p>
            <w:pPr>
              <w:jc w:val="center"/>
            </w:pPr>
            <w:r>
              <w:rPr>
                <w:color w:val="000000"/>
                <w:sz w:val="24"/>
              </w:rPr>
              <w:t>8</w:t>
            </w:r>
          </w:p>
        </w:tc>
        <w:tc>
          <w:tcPr>
            <w:vAlign w:val="center"/>
          </w:tcPr>
          <w:p>
            <w:pPr>
              <w:jc w:val="center"/>
            </w:pPr>
            <w:r>
              <w:rPr>
                <w:color w:val="000000"/>
                <w:sz w:val="24"/>
              </w:rPr>
              <w:t>011901883</w:t>
            </w:r>
          </w:p>
        </w:tc>
        <w:tc>
          <w:tcPr>
            <w:vAlign w:val="center"/>
          </w:tcPr>
          <w:p>
            <w:pPr>
              <w:jc w:val="center"/>
            </w:pPr>
            <w:r>
              <w:rPr>
                <w:color w:val="000000"/>
                <w:sz w:val="24"/>
              </w:rPr>
              <w:t>19中电投SCP024</w:t>
            </w:r>
          </w:p>
        </w:tc>
        <w:tc>
          <w:tcPr>
            <w:vAlign w:val="center"/>
          </w:tcPr>
          <w:p>
            <w:pPr>
              <w:jc w:val="right"/>
            </w:pPr>
            <w:r>
              <w:rPr>
                <w:color w:val="000000"/>
                <w:sz w:val="24"/>
              </w:rPr>
              <w:t>2,000,000</w:t>
            </w:r>
          </w:p>
        </w:tc>
        <w:tc>
          <w:tcPr>
            <w:vAlign w:val="center"/>
          </w:tcPr>
          <w:p>
            <w:pPr>
              <w:jc w:val="right"/>
            </w:pPr>
            <w:r>
              <w:rPr>
                <w:color w:val="000000"/>
                <w:sz w:val="24"/>
              </w:rPr>
              <w:t>199,919,032.68</w:t>
            </w:r>
          </w:p>
        </w:tc>
        <w:tc>
          <w:tcPr>
            <w:vAlign w:val="center"/>
          </w:tcPr>
          <w:p>
            <w:pPr>
              <w:jc w:val="right"/>
            </w:pPr>
            <w:r>
              <w:rPr>
                <w:color w:val="000000"/>
                <w:sz w:val="24"/>
              </w:rPr>
              <w:t>2.82</w:t>
            </w:r>
          </w:p>
        </w:tc>
      </w:tr>
      <w:tr>
        <w:tc>
          <w:tcPr>
            <w:vAlign w:val="center"/>
          </w:tcPr>
          <w:p>
            <w:pPr>
              <w:jc w:val="center"/>
            </w:pPr>
            <w:r>
              <w:rPr>
                <w:color w:val="000000"/>
                <w:sz w:val="24"/>
              </w:rPr>
              <w:t>9</w:t>
            </w:r>
          </w:p>
        </w:tc>
        <w:tc>
          <w:tcPr>
            <w:vAlign w:val="center"/>
          </w:tcPr>
          <w:p>
            <w:pPr>
              <w:jc w:val="center"/>
            </w:pPr>
            <w:r>
              <w:rPr>
                <w:color w:val="000000"/>
                <w:sz w:val="24"/>
              </w:rPr>
              <w:t>011901702</w:t>
            </w:r>
          </w:p>
        </w:tc>
        <w:tc>
          <w:tcPr>
            <w:vAlign w:val="center"/>
          </w:tcPr>
          <w:p>
            <w:pPr>
              <w:jc w:val="center"/>
            </w:pPr>
            <w:r>
              <w:rPr>
                <w:color w:val="000000"/>
                <w:sz w:val="24"/>
              </w:rPr>
              <w:t>19船重SCP006</w:t>
            </w:r>
          </w:p>
        </w:tc>
        <w:tc>
          <w:tcPr>
            <w:vAlign w:val="center"/>
          </w:tcPr>
          <w:p>
            <w:pPr>
              <w:jc w:val="right"/>
            </w:pPr>
            <w:r>
              <w:rPr>
                <w:color w:val="000000"/>
                <w:sz w:val="24"/>
              </w:rPr>
              <w:t>1,500,000</w:t>
            </w:r>
          </w:p>
        </w:tc>
        <w:tc>
          <w:tcPr>
            <w:vAlign w:val="center"/>
          </w:tcPr>
          <w:p>
            <w:pPr>
              <w:jc w:val="right"/>
            </w:pPr>
            <w:r>
              <w:rPr>
                <w:color w:val="000000"/>
                <w:sz w:val="24"/>
              </w:rPr>
              <w:t>149,952,957.66</w:t>
            </w:r>
          </w:p>
        </w:tc>
        <w:tc>
          <w:tcPr>
            <w:vAlign w:val="center"/>
          </w:tcPr>
          <w:p>
            <w:pPr>
              <w:jc w:val="right"/>
            </w:pPr>
            <w:r>
              <w:rPr>
                <w:color w:val="000000"/>
                <w:sz w:val="24"/>
              </w:rPr>
              <w:t>2.11</w:t>
            </w:r>
          </w:p>
        </w:tc>
      </w:tr>
      <w:tr>
        <w:tc>
          <w:tcPr>
            <w:vAlign w:val="center"/>
          </w:tcPr>
          <w:p>
            <w:pPr>
              <w:jc w:val="center"/>
            </w:pPr>
            <w:r>
              <w:rPr>
                <w:color w:val="000000"/>
                <w:sz w:val="24"/>
              </w:rPr>
              <w:t>10</w:t>
            </w:r>
          </w:p>
        </w:tc>
        <w:tc>
          <w:tcPr>
            <w:vAlign w:val="center"/>
          </w:tcPr>
          <w:p>
            <w:pPr>
              <w:jc w:val="center"/>
            </w:pPr>
            <w:r>
              <w:rPr>
                <w:color w:val="000000"/>
                <w:sz w:val="24"/>
              </w:rPr>
              <w:t>011902684</w:t>
            </w:r>
          </w:p>
        </w:tc>
        <w:tc>
          <w:tcPr>
            <w:vAlign w:val="center"/>
          </w:tcPr>
          <w:p>
            <w:pPr>
              <w:jc w:val="center"/>
            </w:pPr>
            <w:r>
              <w:rPr>
                <w:color w:val="000000"/>
                <w:sz w:val="24"/>
              </w:rPr>
              <w:t>19苏交通SCP026</w:t>
            </w:r>
          </w:p>
        </w:tc>
        <w:tc>
          <w:tcPr>
            <w:vAlign w:val="center"/>
          </w:tcPr>
          <w:p>
            <w:pPr>
              <w:jc w:val="right"/>
            </w:pPr>
            <w:r>
              <w:rPr>
                <w:color w:val="000000"/>
                <w:sz w:val="24"/>
              </w:rPr>
              <w:t>1,500,000</w:t>
            </w:r>
          </w:p>
        </w:tc>
        <w:tc>
          <w:tcPr>
            <w:vAlign w:val="center"/>
          </w:tcPr>
          <w:p>
            <w:pPr>
              <w:jc w:val="right"/>
            </w:pPr>
            <w:r>
              <w:rPr>
                <w:color w:val="000000"/>
                <w:sz w:val="24"/>
              </w:rPr>
              <w:t>149,892,879.12</w:t>
            </w:r>
          </w:p>
        </w:tc>
        <w:tc>
          <w:tcPr>
            <w:vAlign w:val="center"/>
          </w:tcPr>
          <w:p>
            <w:pPr>
              <w:jc w:val="right"/>
            </w:pPr>
            <w:r>
              <w:rPr>
                <w:color w:val="000000"/>
                <w:sz w:val="24"/>
              </w:rPr>
              <w:t>2.11</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0.0598%</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0.0002%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0.0212%</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23,101,962.92</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23,101,962.92</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交银理财60天债券A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交银理财60天债券B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10,313,800.01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7,814,207,311.37</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56,111.30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42,729,844.07</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4,870,923.02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767,306,470.01</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5,498,988.29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7,089,630,685.43</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1,603,784,555.55</w:t>
            </w:r>
          </w:p>
        </w:tc>
        <w:tc>
          <w:tcPr>
            <w:vAlign w:val="center"/>
          </w:tcPr>
          <w:p>
            <w:pPr>
              <w:jc w:val="center"/>
            </w:pPr>
            <w:r>
              <w:rPr>
                <w:rFonts w:ascii="宋体" w:hAnsi="宋体" w:hint="eastAsia"/>
                <w:color w:val="000000"/>
                <w:kern w:val="0"/>
                <w:szCs w:val="21"/>
              </w:rPr>
              <w:t>10,064,287.05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1,613,848,842.60</w:t>
            </w:r>
          </w:p>
        </w:tc>
        <w:tc>
          <w:tcPr>
            <w:vAlign w:val="center"/>
          </w:tcPr>
          <w:p>
            <w:pPr>
              <w:jc w:val="center"/>
            </w:pPr>
            <w:r>
              <w:rPr>
                <w:rFonts w:ascii="宋体" w:hAnsi="宋体" w:hint="eastAsia"/>
                <w:color w:val="000000"/>
                <w:kern w:val="0"/>
                <w:szCs w:val="21"/>
              </w:rPr>
              <w:t>22.75%</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2,115,775,728.20</w:t>
            </w:r>
          </w:p>
        </w:tc>
        <w:tc>
          <w:tcPr>
            <w:vAlign w:val="center"/>
          </w:tcPr>
          <w:p>
            <w:pPr>
              <w:jc w:val="center"/>
            </w:pPr>
            <w:r>
              <w:rPr>
                <w:rFonts w:ascii="宋体" w:hAnsi="宋体" w:hint="eastAsia"/>
                <w:color w:val="000000"/>
                <w:kern w:val="0"/>
                <w:szCs w:val="21"/>
              </w:rPr>
              <w:t>9,849,073.18</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2,125,624,801.38</w:t>
            </w:r>
          </w:p>
        </w:tc>
        <w:tc>
          <w:tcPr>
            <w:vAlign w:val="center"/>
          </w:tcPr>
          <w:p>
            <w:pPr>
              <w:jc w:val="center"/>
            </w:pPr>
            <w:r>
              <w:rPr>
                <w:rFonts w:ascii="宋体" w:hAnsi="宋体" w:hint="eastAsia"/>
                <w:color w:val="000000"/>
                <w:kern w:val="0"/>
                <w:szCs w:val="21"/>
              </w:rPr>
              <w:t>29.96%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8.2 影响投资者决策的其他重要信息</w:t>
      </w:r>
    </w:p>
    <w:p w:rsidP="003D1E1A" w:rsidR="003D1E1A" w:rsidRDefault="003D1E1A">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281564" w:rsidR="001B3FBF" w:rsidRDefault="001B3FBF" w:rsidRPr="000E4C40">
      <w:pPr>
        <w:spacing w:before="29" w:line="288" w:lineRule="auto"/>
        <w:ind w:firstLine="480" w:firstLineChars="200"/>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1、中国证监会批准交银施罗德理财60天债券型证券投资基金募集的文件； </w:t>
      </w:r>
    </w:p>
    <w:p>
      <w:pPr>
        <w:spacing w:before="29" w:line="288" w:lineRule="auto"/>
        <w:ind w:firstLine="480" w:firstLineChars="200"/>
        <w:rPr>
          <w:color w:val="000000"/>
          <w:sz w:val="24"/>
        </w:rPr>
      </w:pPr>
      <w:r>
        <w:rPr>
          <w:color w:val="000000"/>
          <w:sz w:val="24"/>
        </w:rPr>
        <w:t xml:space="preserve">2、《交银施罗德理财60天债券型证券投资基金基金合同》； </w:t>
      </w:r>
    </w:p>
    <w:p>
      <w:pPr>
        <w:spacing w:before="29" w:line="288" w:lineRule="auto"/>
        <w:ind w:firstLine="480" w:firstLineChars="200"/>
        <w:rPr>
          <w:color w:val="000000"/>
          <w:sz w:val="24"/>
        </w:rPr>
      </w:pPr>
      <w:r>
        <w:rPr>
          <w:color w:val="000000"/>
          <w:sz w:val="24"/>
        </w:rPr>
        <w:t xml:space="preserve">3、《交银施罗德理财60天债券型证券投资基金招募说明书》； </w:t>
      </w:r>
    </w:p>
    <w:p>
      <w:pPr>
        <w:spacing w:before="29" w:line="288" w:lineRule="auto"/>
        <w:ind w:firstLine="480" w:firstLineChars="200"/>
        <w:rPr>
          <w:color w:val="000000"/>
          <w:sz w:val="24"/>
        </w:rPr>
      </w:pPr>
      <w:r>
        <w:rPr>
          <w:color w:val="000000"/>
          <w:sz w:val="24"/>
        </w:rPr>
        <w:t xml:space="preserve">4、《交银施罗德理财60天债券型证券投资基金托管协议》； </w:t>
      </w:r>
    </w:p>
    <w:p>
      <w:pPr>
        <w:spacing w:before="29" w:line="288" w:lineRule="auto"/>
        <w:ind w:firstLine="480" w:firstLineChars="200"/>
        <w:rPr>
          <w:color w:val="000000"/>
          <w:sz w:val="24"/>
        </w:rPr>
      </w:pPr>
      <w:r>
        <w:rPr>
          <w:color w:val="000000"/>
          <w:sz w:val="24"/>
        </w:rPr>
        <w:t xml:space="preserve">5、关于募集交银施罗德理财60天债券型证券投资基金之法律意见书；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8、报告期内交银施罗德理财60天债券型证券投资基金在指定报刊上各项公告的原稿。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交银施罗德理财60天债券型证券投资基金2019年第4季度报告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