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交银施罗德瑞丰三年封闭运作混合型证券投资基金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C7CEF" w:rsidRDefault="008F0B2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交银瑞丰混合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501087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501087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2,964,855,301.50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AC7CEF" w:rsidRDefault="008F0B23">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F0B23" w:rsidRPr="00414345" w:rsidTr="008F0B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F0B23" w:rsidRPr="00414345" w:rsidTr="008F0B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6,774,006.02</w:t>
            </w:r>
          </w:p>
        </w:tc>
      </w:tr>
      <w:tr w:rsidR="008F0B23" w:rsidRPr="00414345" w:rsidTr="008F0B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144,986,978.04</w:t>
            </w:r>
          </w:p>
        </w:tc>
      </w:tr>
      <w:tr w:rsidR="008F0B23" w:rsidRPr="00414345" w:rsidTr="008F0B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0.0489</w:t>
            </w:r>
          </w:p>
        </w:tc>
      </w:tr>
      <w:tr w:rsidR="008F0B23" w:rsidRPr="00414345" w:rsidTr="008F0B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3,122,839,221.84</w:t>
            </w:r>
          </w:p>
        </w:tc>
      </w:tr>
      <w:tr w:rsidR="008F0B23" w:rsidRPr="00414345" w:rsidTr="008F0B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1.0533</w:t>
            </w:r>
          </w:p>
        </w:tc>
      </w:tr>
    </w:tbl>
    <w:p w:rsidR="00AC7CEF" w:rsidRDefault="008F0B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C7CEF">
        <w:trPr>
          <w:jc w:val="center"/>
        </w:trPr>
        <w:tc>
          <w:tcPr>
            <w:tcW w:w="1701" w:type="dxa"/>
            <w:vAlign w:val="center"/>
          </w:tcPr>
          <w:p w:rsidR="00AC7CEF" w:rsidRDefault="008F0B23">
            <w:pPr>
              <w:jc w:val="left"/>
            </w:pPr>
            <w:r>
              <w:rPr>
                <w:color w:val="000000"/>
                <w:sz w:val="24"/>
                <w:szCs w:val="24"/>
              </w:rPr>
              <w:t>过去三个月</w:t>
            </w:r>
          </w:p>
        </w:tc>
        <w:tc>
          <w:tcPr>
            <w:tcW w:w="1045" w:type="dxa"/>
            <w:vAlign w:val="center"/>
          </w:tcPr>
          <w:p w:rsidR="00AC7CEF" w:rsidRDefault="008F0B23">
            <w:pPr>
              <w:jc w:val="center"/>
            </w:pPr>
            <w:r>
              <w:rPr>
                <w:color w:val="000000"/>
                <w:sz w:val="24"/>
                <w:szCs w:val="24"/>
              </w:rPr>
              <w:t>4.87%</w:t>
            </w:r>
          </w:p>
        </w:tc>
        <w:tc>
          <w:tcPr>
            <w:tcW w:w="1344" w:type="dxa"/>
            <w:vAlign w:val="center"/>
          </w:tcPr>
          <w:p w:rsidR="00AC7CEF" w:rsidRDefault="008F0B23">
            <w:pPr>
              <w:jc w:val="center"/>
            </w:pPr>
            <w:r>
              <w:rPr>
                <w:color w:val="000000"/>
                <w:sz w:val="24"/>
                <w:szCs w:val="24"/>
              </w:rPr>
              <w:t>0.31%</w:t>
            </w:r>
          </w:p>
        </w:tc>
        <w:tc>
          <w:tcPr>
            <w:tcW w:w="1194" w:type="dxa"/>
            <w:vAlign w:val="center"/>
          </w:tcPr>
          <w:p w:rsidR="00AC7CEF" w:rsidRDefault="008F0B23">
            <w:pPr>
              <w:jc w:val="center"/>
            </w:pPr>
            <w:r>
              <w:rPr>
                <w:color w:val="000000"/>
                <w:sz w:val="24"/>
                <w:szCs w:val="24"/>
              </w:rPr>
              <w:t>5.89%</w:t>
            </w:r>
          </w:p>
        </w:tc>
        <w:tc>
          <w:tcPr>
            <w:tcW w:w="1492" w:type="dxa"/>
            <w:vAlign w:val="center"/>
          </w:tcPr>
          <w:p w:rsidR="00AC7CEF" w:rsidRDefault="008F0B23">
            <w:pPr>
              <w:jc w:val="center"/>
            </w:pPr>
            <w:r>
              <w:rPr>
                <w:color w:val="000000"/>
                <w:sz w:val="24"/>
                <w:szCs w:val="24"/>
              </w:rPr>
              <w:t>0.54%</w:t>
            </w:r>
          </w:p>
        </w:tc>
        <w:tc>
          <w:tcPr>
            <w:tcW w:w="1194" w:type="dxa"/>
            <w:vAlign w:val="center"/>
          </w:tcPr>
          <w:p w:rsidR="00AC7CEF" w:rsidRDefault="008F0B23">
            <w:pPr>
              <w:jc w:val="center"/>
            </w:pPr>
            <w:r>
              <w:rPr>
                <w:color w:val="000000"/>
                <w:sz w:val="24"/>
                <w:szCs w:val="24"/>
              </w:rPr>
              <w:t>-1.02%</w:t>
            </w:r>
          </w:p>
        </w:tc>
        <w:tc>
          <w:tcPr>
            <w:tcW w:w="898" w:type="dxa"/>
            <w:vAlign w:val="center"/>
          </w:tcPr>
          <w:p w:rsidR="00AC7CEF" w:rsidRDefault="008F0B23">
            <w:pPr>
              <w:jc w:val="center"/>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交银施罗德瑞丰三年封闭运作混合型证券投资基金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C7CEF">
        <w:trPr>
          <w:jc w:val="center"/>
        </w:trPr>
        <w:tc>
          <w:tcPr>
            <w:tcW w:w="846" w:type="dxa"/>
            <w:vAlign w:val="center"/>
          </w:tcPr>
          <w:p w:rsidR="00AC7CEF" w:rsidRDefault="008F0B23">
            <w:pPr>
              <w:jc w:val="center"/>
            </w:pPr>
            <w:r>
              <w:rPr>
                <w:color w:val="000000"/>
                <w:sz w:val="24"/>
                <w:szCs w:val="24"/>
              </w:rPr>
              <w:t>王崇</w:t>
            </w:r>
          </w:p>
        </w:tc>
        <w:tc>
          <w:tcPr>
            <w:tcW w:w="845" w:type="dxa"/>
            <w:vAlign w:val="center"/>
          </w:tcPr>
          <w:p w:rsidR="00AC7CEF" w:rsidRDefault="008F0B23">
            <w:pPr>
              <w:jc w:val="center"/>
            </w:pPr>
            <w:r>
              <w:rPr>
                <w:color w:val="000000"/>
                <w:sz w:val="24"/>
                <w:szCs w:val="24"/>
              </w:rPr>
              <w:t>交银精选混合、交银新成长混合、交银瑞丰混合的基金经理，公司权益投资副总监</w:t>
            </w:r>
          </w:p>
        </w:tc>
        <w:tc>
          <w:tcPr>
            <w:tcW w:w="1549" w:type="dxa"/>
            <w:vAlign w:val="center"/>
          </w:tcPr>
          <w:p w:rsidR="00AC7CEF" w:rsidRDefault="008F0B23">
            <w:pPr>
              <w:jc w:val="center"/>
            </w:pPr>
            <w:r>
              <w:rPr>
                <w:color w:val="000000"/>
                <w:sz w:val="24"/>
                <w:szCs w:val="24"/>
              </w:rPr>
              <w:t>2019-09-04</w:t>
            </w:r>
          </w:p>
        </w:tc>
        <w:tc>
          <w:tcPr>
            <w:tcW w:w="1548" w:type="dxa"/>
            <w:vAlign w:val="center"/>
          </w:tcPr>
          <w:p w:rsidR="00AC7CEF" w:rsidRDefault="008F0B23">
            <w:pPr>
              <w:jc w:val="center"/>
            </w:pPr>
            <w:r>
              <w:rPr>
                <w:color w:val="000000"/>
                <w:sz w:val="24"/>
                <w:szCs w:val="24"/>
              </w:rPr>
              <w:t>-</w:t>
            </w:r>
          </w:p>
        </w:tc>
        <w:tc>
          <w:tcPr>
            <w:tcW w:w="1407" w:type="dxa"/>
            <w:vAlign w:val="center"/>
          </w:tcPr>
          <w:p w:rsidR="00AC7CEF" w:rsidRDefault="008F0B23">
            <w:pPr>
              <w:jc w:val="center"/>
            </w:pPr>
            <w:r>
              <w:rPr>
                <w:color w:val="000000"/>
                <w:sz w:val="24"/>
                <w:szCs w:val="24"/>
              </w:rPr>
              <w:t>11</w:t>
            </w:r>
            <w:r>
              <w:rPr>
                <w:color w:val="000000"/>
                <w:sz w:val="24"/>
                <w:szCs w:val="24"/>
              </w:rPr>
              <w:t>年</w:t>
            </w:r>
          </w:p>
        </w:tc>
        <w:tc>
          <w:tcPr>
            <w:tcW w:w="2673" w:type="dxa"/>
            <w:vAlign w:val="center"/>
          </w:tcPr>
          <w:p w:rsidR="00AC7CEF" w:rsidRDefault="008F0B23">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C7CEF" w:rsidRDefault="008F0B2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C7CEF" w:rsidRDefault="008F0B2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C7CEF" w:rsidRDefault="008F0B2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C7CEF" w:rsidRDefault="008F0B23">
      <w:pPr>
        <w:spacing w:before="29" w:line="288" w:lineRule="auto"/>
        <w:ind w:firstLineChars="200" w:firstLine="480"/>
        <w:rPr>
          <w:color w:val="000000"/>
          <w:sz w:val="24"/>
          <w:szCs w:val="24"/>
        </w:rPr>
      </w:pPr>
      <w:r>
        <w:rPr>
          <w:color w:val="000000"/>
          <w:sz w:val="24"/>
          <w:szCs w:val="24"/>
        </w:rPr>
        <w:t>2019</w:t>
      </w:r>
      <w:r>
        <w:rPr>
          <w:color w:val="000000"/>
          <w:sz w:val="24"/>
          <w:szCs w:val="24"/>
        </w:rPr>
        <w:t>年四季度国内经济增速有所企稳，通胀分化，受猪肉价格同比大幅走高影响，</w:t>
      </w:r>
      <w:r>
        <w:rPr>
          <w:color w:val="000000"/>
          <w:sz w:val="24"/>
          <w:szCs w:val="24"/>
        </w:rPr>
        <w:t>CPI</w:t>
      </w:r>
      <w:r>
        <w:rPr>
          <w:color w:val="000000"/>
          <w:sz w:val="24"/>
          <w:szCs w:val="24"/>
        </w:rPr>
        <w:t>继续攀升并过</w:t>
      </w:r>
      <w:r>
        <w:rPr>
          <w:color w:val="000000"/>
          <w:sz w:val="24"/>
          <w:szCs w:val="24"/>
        </w:rPr>
        <w:t>4%</w:t>
      </w:r>
      <w:r>
        <w:rPr>
          <w:color w:val="000000"/>
          <w:sz w:val="24"/>
          <w:szCs w:val="24"/>
        </w:rPr>
        <w:t>，</w:t>
      </w:r>
      <w:r>
        <w:rPr>
          <w:color w:val="000000"/>
          <w:sz w:val="24"/>
          <w:szCs w:val="24"/>
        </w:rPr>
        <w:t>PPI</w:t>
      </w:r>
      <w:r>
        <w:rPr>
          <w:color w:val="000000"/>
          <w:sz w:val="24"/>
          <w:szCs w:val="24"/>
        </w:rPr>
        <w:t>在三季度变负后于四季度继续走低到</w:t>
      </w:r>
      <w:r>
        <w:rPr>
          <w:color w:val="000000"/>
          <w:sz w:val="24"/>
          <w:szCs w:val="24"/>
        </w:rPr>
        <w:t>-1%</w:t>
      </w:r>
      <w:r>
        <w:rPr>
          <w:color w:val="000000"/>
          <w:sz w:val="24"/>
          <w:szCs w:val="24"/>
        </w:rPr>
        <w:t>以下。四季度政策层面延续稳健略宽松货币政策，积极引导企业融资成本下行，同时强调房炒不住，鼓励科技创新。四季度</w:t>
      </w:r>
      <w:r>
        <w:rPr>
          <w:color w:val="000000"/>
          <w:sz w:val="24"/>
          <w:szCs w:val="24"/>
        </w:rPr>
        <w:t>A</w:t>
      </w:r>
      <w:r>
        <w:rPr>
          <w:color w:val="000000"/>
          <w:sz w:val="24"/>
          <w:szCs w:val="24"/>
        </w:rPr>
        <w:t>股市场行情扩散和分化并存，其中，以半导体为首的电子行业延续强势涨幅居前，新能源汽车板块异军突起，而以食品饮料和医药为首的大消费板块四季度涨幅靠后。传统行业中景气高位的建材工程机械等龙头股价不断创历史新高，低估值板块如大金融行业估值略有修复。</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本基金四季度大部分时间保持</w:t>
      </w:r>
      <w:r>
        <w:rPr>
          <w:color w:val="000000"/>
          <w:sz w:val="24"/>
          <w:szCs w:val="24"/>
        </w:rPr>
        <w:t>30%</w:t>
      </w:r>
      <w:r>
        <w:rPr>
          <w:color w:val="000000"/>
          <w:sz w:val="24"/>
          <w:szCs w:val="24"/>
        </w:rPr>
        <w:t>左右仓位，坚持自下而上选择相对安全并有望获取绝对收益的标的。行业层面，相对超配大金融、医疗服务、器械以及计算机。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我们维持谨慎乐观态度。考虑到目前的经济状况、利率水平以及政策取向，我们仍旧认为大类资产配置中权益最优，从估值盈利匹配度来看，有不少传统行业优质公司股票仍旧值得投资和持有。另一方面，我们将高度重视通胀风险，谨防</w:t>
      </w:r>
      <w:r w:rsidRPr="00414345">
        <w:rPr>
          <w:color w:val="000000"/>
          <w:sz w:val="24"/>
          <w:szCs w:val="24"/>
        </w:rPr>
        <w:t>CPI</w:t>
      </w:r>
      <w:r w:rsidRPr="00414345">
        <w:rPr>
          <w:color w:val="000000"/>
          <w:sz w:val="24"/>
          <w:szCs w:val="24"/>
        </w:rPr>
        <w:t>回落幅度和速度低于预期带来市场波动。其次，长期逻辑通畅的新兴产业（如医疗服务、创新药、半导体、新能源汽车）经历</w:t>
      </w:r>
      <w:r w:rsidRPr="00414345">
        <w:rPr>
          <w:color w:val="000000"/>
          <w:sz w:val="24"/>
          <w:szCs w:val="24"/>
        </w:rPr>
        <w:t>2019</w:t>
      </w:r>
      <w:r w:rsidRPr="00414345">
        <w:rPr>
          <w:color w:val="000000"/>
          <w:sz w:val="24"/>
          <w:szCs w:val="24"/>
        </w:rPr>
        <w:t>年大幅上涨后估值处于历史高位，未来将进入景气和业绩验证阶段，从历史来看，大概率相当一批公司业绩会低于预期。再次，核心资产的概念已深入人心，相关核心资产股票已不再便宜，那么简单抓龙头买入持有可能已经不再那么有效，至少要有预期未来收益率可能会下降。本基金后续继续关注大金融、医疗服务器械、计算机人工智能以及新能源汽车产业链上优质标的，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1,215,259,489.45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1,215,259,489.45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887,259,000.00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887,259,000.00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154,635,548.87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8,216,859.56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3,165,370,897.88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317,855,519.27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122,509,780.60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206,170,136.86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168,665,620.21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815,207,634.98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AC7CEF">
        <w:trPr>
          <w:jc w:val="center"/>
        </w:trPr>
        <w:tc>
          <w:tcPr>
            <w:tcW w:w="2397" w:type="dxa"/>
            <w:vAlign w:val="center"/>
          </w:tcPr>
          <w:p w:rsidR="00AC7CEF" w:rsidRDefault="008F0B23">
            <w:pPr>
              <w:jc w:val="center"/>
            </w:pPr>
            <w:r>
              <w:rPr>
                <w:color w:val="000000"/>
                <w:sz w:val="24"/>
              </w:rPr>
              <w:t>金融</w:t>
            </w:r>
          </w:p>
        </w:tc>
        <w:tc>
          <w:tcPr>
            <w:tcW w:w="3119" w:type="dxa"/>
            <w:vAlign w:val="center"/>
          </w:tcPr>
          <w:p w:rsidR="00AC7CEF" w:rsidRDefault="008F0B23">
            <w:pPr>
              <w:jc w:val="center"/>
            </w:pPr>
            <w:r>
              <w:rPr>
                <w:color w:val="000000"/>
                <w:sz w:val="24"/>
              </w:rPr>
              <w:t>400,051,854.47</w:t>
            </w:r>
          </w:p>
        </w:tc>
        <w:tc>
          <w:tcPr>
            <w:tcW w:w="3118" w:type="dxa"/>
            <w:vAlign w:val="center"/>
          </w:tcPr>
          <w:p w:rsidR="00AC7CEF" w:rsidRDefault="008F0B23">
            <w:pPr>
              <w:jc w:val="center"/>
            </w:pPr>
            <w:r>
              <w:rPr>
                <w:color w:val="000000"/>
                <w:sz w:val="24"/>
              </w:rPr>
              <w:t>12.81</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400,051,854.47</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12.81</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C7CEF">
        <w:trPr>
          <w:jc w:val="center"/>
        </w:trPr>
        <w:tc>
          <w:tcPr>
            <w:tcW w:w="855" w:type="dxa"/>
            <w:vAlign w:val="center"/>
          </w:tcPr>
          <w:p w:rsidR="00AC7CEF" w:rsidRDefault="008F0B23">
            <w:pPr>
              <w:jc w:val="center"/>
            </w:pPr>
            <w:r>
              <w:rPr>
                <w:color w:val="000000"/>
                <w:sz w:val="24"/>
                <w:szCs w:val="24"/>
              </w:rPr>
              <w:t>1</w:t>
            </w:r>
          </w:p>
        </w:tc>
        <w:tc>
          <w:tcPr>
            <w:tcW w:w="1334" w:type="dxa"/>
            <w:vAlign w:val="center"/>
          </w:tcPr>
          <w:p w:rsidR="00AC7CEF" w:rsidRDefault="008F0B23">
            <w:pPr>
              <w:jc w:val="center"/>
            </w:pPr>
            <w:r>
              <w:rPr>
                <w:color w:val="000000"/>
                <w:sz w:val="24"/>
                <w:szCs w:val="24"/>
              </w:rPr>
              <w:t>600048</w:t>
            </w:r>
          </w:p>
        </w:tc>
        <w:tc>
          <w:tcPr>
            <w:tcW w:w="1777" w:type="dxa"/>
            <w:vAlign w:val="center"/>
          </w:tcPr>
          <w:p w:rsidR="00AC7CEF" w:rsidRDefault="008F0B23">
            <w:pPr>
              <w:jc w:val="center"/>
            </w:pPr>
            <w:r>
              <w:rPr>
                <w:color w:val="000000"/>
                <w:sz w:val="24"/>
                <w:szCs w:val="24"/>
              </w:rPr>
              <w:t>保利地产</w:t>
            </w:r>
          </w:p>
        </w:tc>
        <w:tc>
          <w:tcPr>
            <w:tcW w:w="1334" w:type="dxa"/>
            <w:vAlign w:val="center"/>
          </w:tcPr>
          <w:p w:rsidR="00AC7CEF" w:rsidRDefault="008F0B23">
            <w:pPr>
              <w:jc w:val="right"/>
            </w:pPr>
            <w:r>
              <w:rPr>
                <w:color w:val="000000"/>
                <w:sz w:val="24"/>
                <w:szCs w:val="24"/>
              </w:rPr>
              <w:t>10,742,627</w:t>
            </w:r>
          </w:p>
        </w:tc>
        <w:tc>
          <w:tcPr>
            <w:tcW w:w="1924" w:type="dxa"/>
            <w:vAlign w:val="center"/>
          </w:tcPr>
          <w:p w:rsidR="00AC7CEF" w:rsidRDefault="008F0B23">
            <w:pPr>
              <w:jc w:val="right"/>
            </w:pPr>
            <w:r>
              <w:rPr>
                <w:color w:val="000000"/>
                <w:sz w:val="24"/>
                <w:szCs w:val="24"/>
              </w:rPr>
              <w:t>173,815,704.86</w:t>
            </w:r>
          </w:p>
        </w:tc>
        <w:tc>
          <w:tcPr>
            <w:tcW w:w="1644" w:type="dxa"/>
            <w:vAlign w:val="center"/>
          </w:tcPr>
          <w:p w:rsidR="00AC7CEF" w:rsidRDefault="008F0B23">
            <w:pPr>
              <w:jc w:val="right"/>
            </w:pPr>
            <w:r>
              <w:rPr>
                <w:color w:val="000000"/>
                <w:sz w:val="24"/>
                <w:szCs w:val="24"/>
              </w:rPr>
              <w:t>5.57</w:t>
            </w:r>
          </w:p>
        </w:tc>
      </w:tr>
      <w:tr w:rsidR="00AC7CEF">
        <w:trPr>
          <w:jc w:val="center"/>
        </w:trPr>
        <w:tc>
          <w:tcPr>
            <w:tcW w:w="855" w:type="dxa"/>
            <w:vAlign w:val="center"/>
          </w:tcPr>
          <w:p w:rsidR="00AC7CEF" w:rsidRDefault="008F0B23">
            <w:pPr>
              <w:jc w:val="center"/>
            </w:pPr>
            <w:r>
              <w:rPr>
                <w:color w:val="000000"/>
                <w:sz w:val="24"/>
                <w:szCs w:val="24"/>
              </w:rPr>
              <w:t>2</w:t>
            </w:r>
          </w:p>
        </w:tc>
        <w:tc>
          <w:tcPr>
            <w:tcW w:w="1334" w:type="dxa"/>
            <w:vAlign w:val="center"/>
          </w:tcPr>
          <w:p w:rsidR="00AC7CEF" w:rsidRDefault="008F0B23">
            <w:pPr>
              <w:jc w:val="center"/>
            </w:pPr>
            <w:r>
              <w:rPr>
                <w:color w:val="000000"/>
                <w:sz w:val="24"/>
                <w:szCs w:val="24"/>
              </w:rPr>
              <w:t>002271</w:t>
            </w:r>
          </w:p>
        </w:tc>
        <w:tc>
          <w:tcPr>
            <w:tcW w:w="1777" w:type="dxa"/>
            <w:vAlign w:val="center"/>
          </w:tcPr>
          <w:p w:rsidR="00AC7CEF" w:rsidRDefault="008F0B23">
            <w:pPr>
              <w:jc w:val="center"/>
            </w:pPr>
            <w:r>
              <w:rPr>
                <w:color w:val="000000"/>
                <w:sz w:val="24"/>
                <w:szCs w:val="24"/>
              </w:rPr>
              <w:t>东方雨虹</w:t>
            </w:r>
          </w:p>
        </w:tc>
        <w:tc>
          <w:tcPr>
            <w:tcW w:w="1334" w:type="dxa"/>
            <w:vAlign w:val="center"/>
          </w:tcPr>
          <w:p w:rsidR="00AC7CEF" w:rsidRDefault="008F0B23">
            <w:pPr>
              <w:jc w:val="right"/>
            </w:pPr>
            <w:r>
              <w:rPr>
                <w:color w:val="000000"/>
                <w:sz w:val="24"/>
                <w:szCs w:val="24"/>
              </w:rPr>
              <w:t>5,221,495</w:t>
            </w:r>
          </w:p>
        </w:tc>
        <w:tc>
          <w:tcPr>
            <w:tcW w:w="1924" w:type="dxa"/>
            <w:vAlign w:val="center"/>
          </w:tcPr>
          <w:p w:rsidR="00AC7CEF" w:rsidRDefault="008F0B23">
            <w:pPr>
              <w:jc w:val="right"/>
            </w:pPr>
            <w:r>
              <w:rPr>
                <w:color w:val="000000"/>
                <w:sz w:val="24"/>
                <w:szCs w:val="24"/>
              </w:rPr>
              <w:t>137,377,533.45</w:t>
            </w:r>
          </w:p>
        </w:tc>
        <w:tc>
          <w:tcPr>
            <w:tcW w:w="1644" w:type="dxa"/>
            <w:vAlign w:val="center"/>
          </w:tcPr>
          <w:p w:rsidR="00AC7CEF" w:rsidRDefault="008F0B23">
            <w:pPr>
              <w:jc w:val="right"/>
            </w:pPr>
            <w:r>
              <w:rPr>
                <w:color w:val="000000"/>
                <w:sz w:val="24"/>
                <w:szCs w:val="24"/>
              </w:rPr>
              <w:t>4.40</w:t>
            </w:r>
          </w:p>
        </w:tc>
      </w:tr>
      <w:tr w:rsidR="00AC7CEF">
        <w:trPr>
          <w:jc w:val="center"/>
        </w:trPr>
        <w:tc>
          <w:tcPr>
            <w:tcW w:w="855" w:type="dxa"/>
            <w:vAlign w:val="center"/>
          </w:tcPr>
          <w:p w:rsidR="00AC7CEF" w:rsidRDefault="008F0B23">
            <w:pPr>
              <w:jc w:val="center"/>
            </w:pPr>
            <w:r>
              <w:rPr>
                <w:color w:val="000000"/>
                <w:sz w:val="24"/>
                <w:szCs w:val="24"/>
              </w:rPr>
              <w:t>3</w:t>
            </w:r>
          </w:p>
        </w:tc>
        <w:tc>
          <w:tcPr>
            <w:tcW w:w="1334" w:type="dxa"/>
            <w:vAlign w:val="center"/>
          </w:tcPr>
          <w:p w:rsidR="00AC7CEF" w:rsidRDefault="008F0B23">
            <w:pPr>
              <w:jc w:val="center"/>
            </w:pPr>
            <w:r>
              <w:rPr>
                <w:color w:val="000000"/>
                <w:sz w:val="24"/>
                <w:szCs w:val="24"/>
              </w:rPr>
              <w:t>02601.HK</w:t>
            </w:r>
          </w:p>
        </w:tc>
        <w:tc>
          <w:tcPr>
            <w:tcW w:w="1777" w:type="dxa"/>
            <w:vAlign w:val="center"/>
          </w:tcPr>
          <w:p w:rsidR="00AC7CEF" w:rsidRDefault="008F0B23">
            <w:pPr>
              <w:jc w:val="center"/>
            </w:pPr>
            <w:r>
              <w:rPr>
                <w:color w:val="000000"/>
                <w:sz w:val="24"/>
                <w:szCs w:val="24"/>
              </w:rPr>
              <w:t>中国太保</w:t>
            </w:r>
          </w:p>
        </w:tc>
        <w:tc>
          <w:tcPr>
            <w:tcW w:w="1334" w:type="dxa"/>
            <w:vAlign w:val="center"/>
          </w:tcPr>
          <w:p w:rsidR="00AC7CEF" w:rsidRDefault="008F0B23">
            <w:pPr>
              <w:jc w:val="right"/>
            </w:pPr>
            <w:r>
              <w:rPr>
                <w:color w:val="000000"/>
                <w:sz w:val="24"/>
                <w:szCs w:val="24"/>
              </w:rPr>
              <w:t>4,670,800</w:t>
            </w:r>
          </w:p>
        </w:tc>
        <w:tc>
          <w:tcPr>
            <w:tcW w:w="1924" w:type="dxa"/>
            <w:vAlign w:val="center"/>
          </w:tcPr>
          <w:p w:rsidR="00AC7CEF" w:rsidRDefault="008F0B23">
            <w:pPr>
              <w:jc w:val="right"/>
            </w:pPr>
            <w:r>
              <w:rPr>
                <w:color w:val="000000"/>
                <w:sz w:val="24"/>
                <w:szCs w:val="24"/>
              </w:rPr>
              <w:t>128,449,083.18</w:t>
            </w:r>
          </w:p>
        </w:tc>
        <w:tc>
          <w:tcPr>
            <w:tcW w:w="1644" w:type="dxa"/>
            <w:vAlign w:val="center"/>
          </w:tcPr>
          <w:p w:rsidR="00AC7CEF" w:rsidRDefault="008F0B23">
            <w:pPr>
              <w:jc w:val="right"/>
            </w:pPr>
            <w:r>
              <w:rPr>
                <w:color w:val="000000"/>
                <w:sz w:val="24"/>
                <w:szCs w:val="24"/>
              </w:rPr>
              <w:t>4.11</w:t>
            </w:r>
          </w:p>
        </w:tc>
      </w:tr>
      <w:tr w:rsidR="00AC7CEF">
        <w:trPr>
          <w:jc w:val="center"/>
        </w:trPr>
        <w:tc>
          <w:tcPr>
            <w:tcW w:w="855" w:type="dxa"/>
            <w:vAlign w:val="center"/>
          </w:tcPr>
          <w:p w:rsidR="00AC7CEF" w:rsidRDefault="008F0B23">
            <w:pPr>
              <w:jc w:val="center"/>
            </w:pPr>
            <w:r>
              <w:rPr>
                <w:color w:val="000000"/>
                <w:sz w:val="24"/>
                <w:szCs w:val="24"/>
              </w:rPr>
              <w:t>4</w:t>
            </w:r>
          </w:p>
        </w:tc>
        <w:tc>
          <w:tcPr>
            <w:tcW w:w="1334" w:type="dxa"/>
            <w:vAlign w:val="center"/>
          </w:tcPr>
          <w:p w:rsidR="00AC7CEF" w:rsidRDefault="008F0B23">
            <w:pPr>
              <w:jc w:val="center"/>
            </w:pPr>
            <w:r>
              <w:rPr>
                <w:color w:val="000000"/>
                <w:sz w:val="24"/>
                <w:szCs w:val="24"/>
              </w:rPr>
              <w:t>00939.HK</w:t>
            </w:r>
          </w:p>
        </w:tc>
        <w:tc>
          <w:tcPr>
            <w:tcW w:w="1777" w:type="dxa"/>
            <w:vAlign w:val="center"/>
          </w:tcPr>
          <w:p w:rsidR="00AC7CEF" w:rsidRDefault="008F0B23">
            <w:pPr>
              <w:jc w:val="center"/>
            </w:pPr>
            <w:r>
              <w:rPr>
                <w:color w:val="000000"/>
                <w:sz w:val="24"/>
                <w:szCs w:val="24"/>
              </w:rPr>
              <w:t>建设银行</w:t>
            </w:r>
          </w:p>
        </w:tc>
        <w:tc>
          <w:tcPr>
            <w:tcW w:w="1334" w:type="dxa"/>
            <w:vAlign w:val="center"/>
          </w:tcPr>
          <w:p w:rsidR="00AC7CEF" w:rsidRDefault="008F0B23">
            <w:pPr>
              <w:jc w:val="right"/>
            </w:pPr>
            <w:r>
              <w:rPr>
                <w:color w:val="000000"/>
                <w:sz w:val="24"/>
                <w:szCs w:val="24"/>
              </w:rPr>
              <w:t>19,303,000</w:t>
            </w:r>
          </w:p>
        </w:tc>
        <w:tc>
          <w:tcPr>
            <w:tcW w:w="1924" w:type="dxa"/>
            <w:vAlign w:val="center"/>
          </w:tcPr>
          <w:p w:rsidR="00AC7CEF" w:rsidRDefault="008F0B23">
            <w:pPr>
              <w:jc w:val="right"/>
            </w:pPr>
            <w:r>
              <w:rPr>
                <w:color w:val="000000"/>
                <w:sz w:val="24"/>
                <w:szCs w:val="24"/>
              </w:rPr>
              <w:t>116,370,054.22</w:t>
            </w:r>
          </w:p>
        </w:tc>
        <w:tc>
          <w:tcPr>
            <w:tcW w:w="1644" w:type="dxa"/>
            <w:vAlign w:val="center"/>
          </w:tcPr>
          <w:p w:rsidR="00AC7CEF" w:rsidRDefault="008F0B23">
            <w:pPr>
              <w:jc w:val="right"/>
            </w:pPr>
            <w:r>
              <w:rPr>
                <w:color w:val="000000"/>
                <w:sz w:val="24"/>
                <w:szCs w:val="24"/>
              </w:rPr>
              <w:t>3.73</w:t>
            </w:r>
          </w:p>
        </w:tc>
      </w:tr>
      <w:tr w:rsidR="00AC7CEF">
        <w:trPr>
          <w:jc w:val="center"/>
        </w:trPr>
        <w:tc>
          <w:tcPr>
            <w:tcW w:w="855" w:type="dxa"/>
            <w:vAlign w:val="center"/>
          </w:tcPr>
          <w:p w:rsidR="00AC7CEF" w:rsidRDefault="008F0B23">
            <w:pPr>
              <w:jc w:val="center"/>
            </w:pPr>
            <w:r>
              <w:rPr>
                <w:color w:val="000000"/>
                <w:sz w:val="24"/>
                <w:szCs w:val="24"/>
              </w:rPr>
              <w:t>5</w:t>
            </w:r>
          </w:p>
        </w:tc>
        <w:tc>
          <w:tcPr>
            <w:tcW w:w="1334" w:type="dxa"/>
            <w:vAlign w:val="center"/>
          </w:tcPr>
          <w:p w:rsidR="00AC7CEF" w:rsidRDefault="008F0B23">
            <w:pPr>
              <w:jc w:val="center"/>
            </w:pPr>
            <w:r>
              <w:rPr>
                <w:color w:val="000000"/>
                <w:sz w:val="24"/>
                <w:szCs w:val="24"/>
              </w:rPr>
              <w:t>01398.HK</w:t>
            </w:r>
          </w:p>
        </w:tc>
        <w:tc>
          <w:tcPr>
            <w:tcW w:w="1777" w:type="dxa"/>
            <w:vAlign w:val="center"/>
          </w:tcPr>
          <w:p w:rsidR="00AC7CEF" w:rsidRDefault="008F0B23">
            <w:pPr>
              <w:jc w:val="center"/>
            </w:pPr>
            <w:r>
              <w:rPr>
                <w:color w:val="000000"/>
                <w:sz w:val="24"/>
                <w:szCs w:val="24"/>
              </w:rPr>
              <w:t>工商银行</w:t>
            </w:r>
          </w:p>
        </w:tc>
        <w:tc>
          <w:tcPr>
            <w:tcW w:w="1334" w:type="dxa"/>
            <w:vAlign w:val="center"/>
          </w:tcPr>
          <w:p w:rsidR="00AC7CEF" w:rsidRDefault="008F0B23">
            <w:pPr>
              <w:jc w:val="right"/>
            </w:pPr>
            <w:r>
              <w:rPr>
                <w:color w:val="000000"/>
                <w:sz w:val="24"/>
                <w:szCs w:val="24"/>
              </w:rPr>
              <w:t>21,559,000</w:t>
            </w:r>
          </w:p>
        </w:tc>
        <w:tc>
          <w:tcPr>
            <w:tcW w:w="1924" w:type="dxa"/>
            <w:vAlign w:val="center"/>
          </w:tcPr>
          <w:p w:rsidR="00AC7CEF" w:rsidRDefault="008F0B23">
            <w:pPr>
              <w:jc w:val="right"/>
            </w:pPr>
            <w:r>
              <w:rPr>
                <w:color w:val="000000"/>
                <w:sz w:val="24"/>
                <w:szCs w:val="24"/>
              </w:rPr>
              <w:t>115,872,726.12</w:t>
            </w:r>
          </w:p>
        </w:tc>
        <w:tc>
          <w:tcPr>
            <w:tcW w:w="1644" w:type="dxa"/>
            <w:vAlign w:val="center"/>
          </w:tcPr>
          <w:p w:rsidR="00AC7CEF" w:rsidRDefault="008F0B23">
            <w:pPr>
              <w:jc w:val="right"/>
            </w:pPr>
            <w:r>
              <w:rPr>
                <w:color w:val="000000"/>
                <w:sz w:val="24"/>
                <w:szCs w:val="24"/>
              </w:rPr>
              <w:t>3.71</w:t>
            </w:r>
          </w:p>
        </w:tc>
      </w:tr>
      <w:tr w:rsidR="00AC7CEF">
        <w:trPr>
          <w:jc w:val="center"/>
        </w:trPr>
        <w:tc>
          <w:tcPr>
            <w:tcW w:w="855" w:type="dxa"/>
            <w:vAlign w:val="center"/>
          </w:tcPr>
          <w:p w:rsidR="00AC7CEF" w:rsidRDefault="008F0B23">
            <w:pPr>
              <w:jc w:val="center"/>
            </w:pPr>
            <w:r>
              <w:rPr>
                <w:color w:val="000000"/>
                <w:sz w:val="24"/>
                <w:szCs w:val="24"/>
              </w:rPr>
              <w:t>6</w:t>
            </w:r>
          </w:p>
        </w:tc>
        <w:tc>
          <w:tcPr>
            <w:tcW w:w="1334" w:type="dxa"/>
            <w:vAlign w:val="center"/>
          </w:tcPr>
          <w:p w:rsidR="00AC7CEF" w:rsidRDefault="008F0B23">
            <w:pPr>
              <w:jc w:val="center"/>
            </w:pPr>
            <w:r>
              <w:rPr>
                <w:color w:val="000000"/>
                <w:sz w:val="24"/>
                <w:szCs w:val="24"/>
              </w:rPr>
              <w:t>002044</w:t>
            </w:r>
          </w:p>
        </w:tc>
        <w:tc>
          <w:tcPr>
            <w:tcW w:w="1777" w:type="dxa"/>
            <w:vAlign w:val="center"/>
          </w:tcPr>
          <w:p w:rsidR="00AC7CEF" w:rsidRDefault="008F0B23">
            <w:pPr>
              <w:jc w:val="center"/>
            </w:pPr>
            <w:r>
              <w:rPr>
                <w:color w:val="000000"/>
                <w:sz w:val="24"/>
                <w:szCs w:val="24"/>
              </w:rPr>
              <w:t>美年健康</w:t>
            </w:r>
          </w:p>
        </w:tc>
        <w:tc>
          <w:tcPr>
            <w:tcW w:w="1334" w:type="dxa"/>
            <w:vAlign w:val="center"/>
          </w:tcPr>
          <w:p w:rsidR="00AC7CEF" w:rsidRDefault="008F0B23">
            <w:pPr>
              <w:jc w:val="right"/>
            </w:pPr>
            <w:r>
              <w:rPr>
                <w:color w:val="000000"/>
                <w:sz w:val="24"/>
                <w:szCs w:val="24"/>
              </w:rPr>
              <w:t>7,365,589</w:t>
            </w:r>
          </w:p>
        </w:tc>
        <w:tc>
          <w:tcPr>
            <w:tcW w:w="1924" w:type="dxa"/>
            <w:vAlign w:val="center"/>
          </w:tcPr>
          <w:p w:rsidR="00AC7CEF" w:rsidRDefault="008F0B23">
            <w:pPr>
              <w:jc w:val="right"/>
            </w:pPr>
            <w:r>
              <w:rPr>
                <w:color w:val="000000"/>
                <w:sz w:val="24"/>
                <w:szCs w:val="24"/>
              </w:rPr>
              <w:t>109,673,620.21</w:t>
            </w:r>
          </w:p>
        </w:tc>
        <w:tc>
          <w:tcPr>
            <w:tcW w:w="1644" w:type="dxa"/>
            <w:vAlign w:val="center"/>
          </w:tcPr>
          <w:p w:rsidR="00AC7CEF" w:rsidRDefault="008F0B23">
            <w:pPr>
              <w:jc w:val="right"/>
            </w:pPr>
            <w:r>
              <w:rPr>
                <w:color w:val="000000"/>
                <w:sz w:val="24"/>
                <w:szCs w:val="24"/>
              </w:rPr>
              <w:t>3.51</w:t>
            </w:r>
          </w:p>
        </w:tc>
      </w:tr>
      <w:tr w:rsidR="00AC7CEF">
        <w:trPr>
          <w:jc w:val="center"/>
        </w:trPr>
        <w:tc>
          <w:tcPr>
            <w:tcW w:w="855" w:type="dxa"/>
            <w:vAlign w:val="center"/>
          </w:tcPr>
          <w:p w:rsidR="00AC7CEF" w:rsidRDefault="008F0B23">
            <w:pPr>
              <w:jc w:val="center"/>
            </w:pPr>
            <w:r>
              <w:rPr>
                <w:color w:val="000000"/>
                <w:sz w:val="24"/>
                <w:szCs w:val="24"/>
              </w:rPr>
              <w:t>7</w:t>
            </w:r>
          </w:p>
        </w:tc>
        <w:tc>
          <w:tcPr>
            <w:tcW w:w="1334" w:type="dxa"/>
            <w:vAlign w:val="center"/>
          </w:tcPr>
          <w:p w:rsidR="00AC7CEF" w:rsidRDefault="008F0B23">
            <w:pPr>
              <w:jc w:val="center"/>
            </w:pPr>
            <w:r>
              <w:rPr>
                <w:color w:val="000000"/>
                <w:sz w:val="24"/>
                <w:szCs w:val="24"/>
              </w:rPr>
              <w:t>600529</w:t>
            </w:r>
          </w:p>
        </w:tc>
        <w:tc>
          <w:tcPr>
            <w:tcW w:w="1777" w:type="dxa"/>
            <w:vAlign w:val="center"/>
          </w:tcPr>
          <w:p w:rsidR="00AC7CEF" w:rsidRDefault="008F0B23">
            <w:pPr>
              <w:jc w:val="center"/>
            </w:pPr>
            <w:r>
              <w:rPr>
                <w:color w:val="000000"/>
                <w:sz w:val="24"/>
                <w:szCs w:val="24"/>
              </w:rPr>
              <w:t>山东药玻</w:t>
            </w:r>
          </w:p>
        </w:tc>
        <w:tc>
          <w:tcPr>
            <w:tcW w:w="1334" w:type="dxa"/>
            <w:vAlign w:val="center"/>
          </w:tcPr>
          <w:p w:rsidR="00AC7CEF" w:rsidRDefault="008F0B23">
            <w:pPr>
              <w:jc w:val="right"/>
            </w:pPr>
            <w:r>
              <w:rPr>
                <w:color w:val="000000"/>
                <w:sz w:val="24"/>
                <w:szCs w:val="24"/>
              </w:rPr>
              <w:t>3,554,360</w:t>
            </w:r>
          </w:p>
        </w:tc>
        <w:tc>
          <w:tcPr>
            <w:tcW w:w="1924" w:type="dxa"/>
            <w:vAlign w:val="center"/>
          </w:tcPr>
          <w:p w:rsidR="00AC7CEF" w:rsidRDefault="008F0B23">
            <w:pPr>
              <w:jc w:val="right"/>
            </w:pPr>
            <w:r>
              <w:rPr>
                <w:color w:val="000000"/>
                <w:sz w:val="24"/>
                <w:szCs w:val="24"/>
              </w:rPr>
              <w:t>98,242,510.40</w:t>
            </w:r>
          </w:p>
        </w:tc>
        <w:tc>
          <w:tcPr>
            <w:tcW w:w="1644" w:type="dxa"/>
            <w:vAlign w:val="center"/>
          </w:tcPr>
          <w:p w:rsidR="00AC7CEF" w:rsidRDefault="008F0B23">
            <w:pPr>
              <w:jc w:val="right"/>
            </w:pPr>
            <w:r>
              <w:rPr>
                <w:color w:val="000000"/>
                <w:sz w:val="24"/>
                <w:szCs w:val="24"/>
              </w:rPr>
              <w:t>3.15</w:t>
            </w:r>
          </w:p>
        </w:tc>
      </w:tr>
      <w:tr w:rsidR="00AC7CEF">
        <w:trPr>
          <w:jc w:val="center"/>
        </w:trPr>
        <w:tc>
          <w:tcPr>
            <w:tcW w:w="855" w:type="dxa"/>
            <w:vAlign w:val="center"/>
          </w:tcPr>
          <w:p w:rsidR="00AC7CEF" w:rsidRDefault="008F0B23">
            <w:pPr>
              <w:jc w:val="center"/>
            </w:pPr>
            <w:r>
              <w:rPr>
                <w:color w:val="000000"/>
                <w:sz w:val="24"/>
                <w:szCs w:val="24"/>
              </w:rPr>
              <w:t>8</w:t>
            </w:r>
          </w:p>
        </w:tc>
        <w:tc>
          <w:tcPr>
            <w:tcW w:w="1334" w:type="dxa"/>
            <w:vAlign w:val="center"/>
          </w:tcPr>
          <w:p w:rsidR="00AC7CEF" w:rsidRDefault="008F0B23">
            <w:pPr>
              <w:jc w:val="center"/>
            </w:pPr>
            <w:r>
              <w:rPr>
                <w:color w:val="000000"/>
                <w:sz w:val="24"/>
                <w:szCs w:val="24"/>
              </w:rPr>
              <w:t>002230</w:t>
            </w:r>
          </w:p>
        </w:tc>
        <w:tc>
          <w:tcPr>
            <w:tcW w:w="1777" w:type="dxa"/>
            <w:vAlign w:val="center"/>
          </w:tcPr>
          <w:p w:rsidR="00AC7CEF" w:rsidRDefault="008F0B23">
            <w:pPr>
              <w:jc w:val="center"/>
            </w:pPr>
            <w:r>
              <w:rPr>
                <w:color w:val="000000"/>
                <w:sz w:val="24"/>
                <w:szCs w:val="24"/>
              </w:rPr>
              <w:t>科大讯飞</w:t>
            </w:r>
          </w:p>
        </w:tc>
        <w:tc>
          <w:tcPr>
            <w:tcW w:w="1334" w:type="dxa"/>
            <w:vAlign w:val="center"/>
          </w:tcPr>
          <w:p w:rsidR="00AC7CEF" w:rsidRDefault="008F0B23">
            <w:pPr>
              <w:jc w:val="right"/>
            </w:pPr>
            <w:r>
              <w:rPr>
                <w:color w:val="000000"/>
                <w:sz w:val="24"/>
                <w:szCs w:val="24"/>
              </w:rPr>
              <w:t>2,297,700</w:t>
            </w:r>
          </w:p>
        </w:tc>
        <w:tc>
          <w:tcPr>
            <w:tcW w:w="1924" w:type="dxa"/>
            <w:vAlign w:val="center"/>
          </w:tcPr>
          <w:p w:rsidR="00AC7CEF" w:rsidRDefault="008F0B23">
            <w:pPr>
              <w:jc w:val="right"/>
            </w:pPr>
            <w:r>
              <w:rPr>
                <w:color w:val="000000"/>
                <w:sz w:val="24"/>
                <w:szCs w:val="24"/>
              </w:rPr>
              <w:t>79,224,696.00</w:t>
            </w:r>
          </w:p>
        </w:tc>
        <w:tc>
          <w:tcPr>
            <w:tcW w:w="1644" w:type="dxa"/>
            <w:vAlign w:val="center"/>
          </w:tcPr>
          <w:p w:rsidR="00AC7CEF" w:rsidRDefault="008F0B23">
            <w:pPr>
              <w:jc w:val="right"/>
            </w:pPr>
            <w:r>
              <w:rPr>
                <w:color w:val="000000"/>
                <w:sz w:val="24"/>
                <w:szCs w:val="24"/>
              </w:rPr>
              <w:t>2.54</w:t>
            </w:r>
          </w:p>
        </w:tc>
      </w:tr>
      <w:tr w:rsidR="00AC7CEF">
        <w:trPr>
          <w:jc w:val="center"/>
        </w:trPr>
        <w:tc>
          <w:tcPr>
            <w:tcW w:w="855" w:type="dxa"/>
            <w:vAlign w:val="center"/>
          </w:tcPr>
          <w:p w:rsidR="00AC7CEF" w:rsidRDefault="008F0B23">
            <w:pPr>
              <w:jc w:val="center"/>
            </w:pPr>
            <w:r>
              <w:rPr>
                <w:color w:val="000000"/>
                <w:sz w:val="24"/>
                <w:szCs w:val="24"/>
              </w:rPr>
              <w:t>9</w:t>
            </w:r>
          </w:p>
        </w:tc>
        <w:tc>
          <w:tcPr>
            <w:tcW w:w="1334" w:type="dxa"/>
            <w:vAlign w:val="center"/>
          </w:tcPr>
          <w:p w:rsidR="00AC7CEF" w:rsidRDefault="008F0B23">
            <w:pPr>
              <w:jc w:val="center"/>
            </w:pPr>
            <w:r>
              <w:rPr>
                <w:color w:val="000000"/>
                <w:sz w:val="24"/>
                <w:szCs w:val="24"/>
              </w:rPr>
              <w:t>603882</w:t>
            </w:r>
          </w:p>
        </w:tc>
        <w:tc>
          <w:tcPr>
            <w:tcW w:w="1777" w:type="dxa"/>
            <w:vAlign w:val="center"/>
          </w:tcPr>
          <w:p w:rsidR="00AC7CEF" w:rsidRDefault="008F0B23">
            <w:pPr>
              <w:jc w:val="center"/>
            </w:pPr>
            <w:r>
              <w:rPr>
                <w:color w:val="000000"/>
                <w:sz w:val="24"/>
                <w:szCs w:val="24"/>
              </w:rPr>
              <w:t>金域医学</w:t>
            </w:r>
          </w:p>
        </w:tc>
        <w:tc>
          <w:tcPr>
            <w:tcW w:w="1334" w:type="dxa"/>
            <w:vAlign w:val="center"/>
          </w:tcPr>
          <w:p w:rsidR="00AC7CEF" w:rsidRDefault="008F0B23">
            <w:pPr>
              <w:jc w:val="right"/>
            </w:pPr>
            <w:r>
              <w:rPr>
                <w:color w:val="000000"/>
                <w:sz w:val="24"/>
                <w:szCs w:val="24"/>
              </w:rPr>
              <w:t>1,200,000</w:t>
            </w:r>
          </w:p>
        </w:tc>
        <w:tc>
          <w:tcPr>
            <w:tcW w:w="1924" w:type="dxa"/>
            <w:vAlign w:val="center"/>
          </w:tcPr>
          <w:p w:rsidR="00AC7CEF" w:rsidRDefault="008F0B23">
            <w:pPr>
              <w:jc w:val="right"/>
            </w:pPr>
            <w:r>
              <w:rPr>
                <w:color w:val="000000"/>
                <w:sz w:val="24"/>
                <w:szCs w:val="24"/>
              </w:rPr>
              <w:t>58,992,000.00</w:t>
            </w:r>
          </w:p>
        </w:tc>
        <w:tc>
          <w:tcPr>
            <w:tcW w:w="1644" w:type="dxa"/>
            <w:vAlign w:val="center"/>
          </w:tcPr>
          <w:p w:rsidR="00AC7CEF" w:rsidRDefault="008F0B23">
            <w:pPr>
              <w:jc w:val="right"/>
            </w:pPr>
            <w:r>
              <w:rPr>
                <w:color w:val="000000"/>
                <w:sz w:val="24"/>
                <w:szCs w:val="24"/>
              </w:rPr>
              <w:t>1.89</w:t>
            </w:r>
          </w:p>
        </w:tc>
      </w:tr>
      <w:tr w:rsidR="00AC7CEF">
        <w:trPr>
          <w:jc w:val="center"/>
        </w:trPr>
        <w:tc>
          <w:tcPr>
            <w:tcW w:w="855" w:type="dxa"/>
            <w:vAlign w:val="center"/>
          </w:tcPr>
          <w:p w:rsidR="00AC7CEF" w:rsidRDefault="008F0B23">
            <w:pPr>
              <w:jc w:val="center"/>
            </w:pPr>
            <w:r>
              <w:rPr>
                <w:color w:val="000000"/>
                <w:sz w:val="24"/>
                <w:szCs w:val="24"/>
              </w:rPr>
              <w:t>10</w:t>
            </w:r>
          </w:p>
        </w:tc>
        <w:tc>
          <w:tcPr>
            <w:tcW w:w="1334" w:type="dxa"/>
            <w:vAlign w:val="center"/>
          </w:tcPr>
          <w:p w:rsidR="00AC7CEF" w:rsidRDefault="008F0B23">
            <w:pPr>
              <w:jc w:val="center"/>
            </w:pPr>
            <w:r>
              <w:rPr>
                <w:color w:val="000000"/>
                <w:sz w:val="24"/>
                <w:szCs w:val="24"/>
              </w:rPr>
              <w:t>603517</w:t>
            </w:r>
          </w:p>
        </w:tc>
        <w:tc>
          <w:tcPr>
            <w:tcW w:w="1777" w:type="dxa"/>
            <w:vAlign w:val="center"/>
          </w:tcPr>
          <w:p w:rsidR="00AC7CEF" w:rsidRDefault="008F0B23">
            <w:pPr>
              <w:jc w:val="center"/>
            </w:pPr>
            <w:r>
              <w:rPr>
                <w:color w:val="000000"/>
                <w:sz w:val="24"/>
                <w:szCs w:val="24"/>
              </w:rPr>
              <w:t>绝味食品</w:t>
            </w:r>
          </w:p>
        </w:tc>
        <w:tc>
          <w:tcPr>
            <w:tcW w:w="1334" w:type="dxa"/>
            <w:vAlign w:val="center"/>
          </w:tcPr>
          <w:p w:rsidR="00AC7CEF" w:rsidRDefault="008F0B23">
            <w:pPr>
              <w:jc w:val="right"/>
            </w:pPr>
            <w:r>
              <w:rPr>
                <w:color w:val="000000"/>
                <w:sz w:val="24"/>
                <w:szCs w:val="24"/>
              </w:rPr>
              <w:t>1,136,580</w:t>
            </w:r>
          </w:p>
        </w:tc>
        <w:tc>
          <w:tcPr>
            <w:tcW w:w="1924" w:type="dxa"/>
            <w:vAlign w:val="center"/>
          </w:tcPr>
          <w:p w:rsidR="00AC7CEF" w:rsidRDefault="008F0B23">
            <w:pPr>
              <w:jc w:val="right"/>
            </w:pPr>
            <w:r>
              <w:rPr>
                <w:color w:val="000000"/>
                <w:sz w:val="24"/>
                <w:szCs w:val="24"/>
              </w:rPr>
              <w:t>52,794,141.00</w:t>
            </w:r>
          </w:p>
        </w:tc>
        <w:tc>
          <w:tcPr>
            <w:tcW w:w="1644" w:type="dxa"/>
            <w:vAlign w:val="center"/>
          </w:tcPr>
          <w:p w:rsidR="00AC7CEF" w:rsidRDefault="008F0B23">
            <w:pPr>
              <w:jc w:val="right"/>
            </w:pPr>
            <w:r>
              <w:rPr>
                <w:color w:val="000000"/>
                <w:sz w:val="24"/>
                <w:szCs w:val="24"/>
              </w:rPr>
              <w:t>1.69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200,309,000.00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686,950,000.00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22.00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887,259,000.00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C7CEF">
        <w:trPr>
          <w:jc w:val="center"/>
        </w:trPr>
        <w:tc>
          <w:tcPr>
            <w:tcW w:w="850" w:type="dxa"/>
            <w:vAlign w:val="center"/>
          </w:tcPr>
          <w:p w:rsidR="00AC7CEF" w:rsidRDefault="008F0B23">
            <w:pPr>
              <w:jc w:val="center"/>
            </w:pPr>
            <w:r>
              <w:rPr>
                <w:color w:val="000000"/>
                <w:sz w:val="24"/>
                <w:szCs w:val="24"/>
              </w:rPr>
              <w:t>1</w:t>
            </w:r>
          </w:p>
        </w:tc>
        <w:tc>
          <w:tcPr>
            <w:tcW w:w="1475" w:type="dxa"/>
            <w:vAlign w:val="center"/>
          </w:tcPr>
          <w:p w:rsidR="00AC7CEF" w:rsidRDefault="008F0B23">
            <w:pPr>
              <w:jc w:val="center"/>
            </w:pPr>
            <w:r>
              <w:rPr>
                <w:color w:val="000000"/>
                <w:sz w:val="24"/>
                <w:szCs w:val="24"/>
              </w:rPr>
              <w:t>111915472</w:t>
            </w:r>
          </w:p>
        </w:tc>
        <w:tc>
          <w:tcPr>
            <w:tcW w:w="1769" w:type="dxa"/>
            <w:vAlign w:val="center"/>
          </w:tcPr>
          <w:p w:rsidR="00AC7CEF" w:rsidRDefault="008F0B23">
            <w:pPr>
              <w:jc w:val="center"/>
            </w:pPr>
            <w:r>
              <w:rPr>
                <w:color w:val="000000"/>
                <w:sz w:val="24"/>
                <w:szCs w:val="24"/>
              </w:rPr>
              <w:t>19</w:t>
            </w:r>
            <w:r>
              <w:rPr>
                <w:color w:val="000000"/>
                <w:sz w:val="24"/>
                <w:szCs w:val="24"/>
              </w:rPr>
              <w:t>民生银行</w:t>
            </w:r>
            <w:r>
              <w:rPr>
                <w:color w:val="000000"/>
                <w:sz w:val="24"/>
                <w:szCs w:val="24"/>
              </w:rPr>
              <w:t>CD472</w:t>
            </w:r>
          </w:p>
        </w:tc>
        <w:tc>
          <w:tcPr>
            <w:tcW w:w="1387" w:type="dxa"/>
            <w:vAlign w:val="center"/>
          </w:tcPr>
          <w:p w:rsidR="00AC7CEF" w:rsidRDefault="008F0B23">
            <w:pPr>
              <w:jc w:val="right"/>
            </w:pPr>
            <w:r>
              <w:rPr>
                <w:color w:val="000000"/>
                <w:sz w:val="24"/>
                <w:szCs w:val="24"/>
              </w:rPr>
              <w:t>1,000,000</w:t>
            </w:r>
          </w:p>
        </w:tc>
        <w:tc>
          <w:tcPr>
            <w:tcW w:w="2150" w:type="dxa"/>
            <w:vAlign w:val="center"/>
          </w:tcPr>
          <w:p w:rsidR="00AC7CEF" w:rsidRDefault="008F0B23">
            <w:pPr>
              <w:jc w:val="right"/>
            </w:pPr>
            <w:r>
              <w:rPr>
                <w:color w:val="000000"/>
                <w:sz w:val="24"/>
                <w:szCs w:val="24"/>
              </w:rPr>
              <w:t>98,590,000.00</w:t>
            </w:r>
          </w:p>
        </w:tc>
        <w:tc>
          <w:tcPr>
            <w:tcW w:w="1237" w:type="dxa"/>
            <w:vAlign w:val="center"/>
          </w:tcPr>
          <w:p w:rsidR="00AC7CEF" w:rsidRDefault="008F0B23">
            <w:pPr>
              <w:jc w:val="right"/>
            </w:pPr>
            <w:r>
              <w:rPr>
                <w:color w:val="000000"/>
                <w:sz w:val="24"/>
                <w:szCs w:val="24"/>
              </w:rPr>
              <w:t>3.16</w:t>
            </w:r>
          </w:p>
        </w:tc>
      </w:tr>
      <w:tr w:rsidR="00AC7CEF">
        <w:trPr>
          <w:jc w:val="center"/>
        </w:trPr>
        <w:tc>
          <w:tcPr>
            <w:tcW w:w="850" w:type="dxa"/>
            <w:vAlign w:val="center"/>
          </w:tcPr>
          <w:p w:rsidR="00AC7CEF" w:rsidRDefault="008F0B23">
            <w:pPr>
              <w:jc w:val="center"/>
            </w:pPr>
            <w:r>
              <w:rPr>
                <w:color w:val="000000"/>
                <w:sz w:val="24"/>
                <w:szCs w:val="24"/>
              </w:rPr>
              <w:t>2</w:t>
            </w:r>
          </w:p>
        </w:tc>
        <w:tc>
          <w:tcPr>
            <w:tcW w:w="1475" w:type="dxa"/>
            <w:vAlign w:val="center"/>
          </w:tcPr>
          <w:p w:rsidR="00AC7CEF" w:rsidRDefault="008F0B23">
            <w:pPr>
              <w:jc w:val="center"/>
            </w:pPr>
            <w:r>
              <w:rPr>
                <w:color w:val="000000"/>
                <w:sz w:val="24"/>
                <w:szCs w:val="24"/>
              </w:rPr>
              <w:t>111988958</w:t>
            </w:r>
          </w:p>
        </w:tc>
        <w:tc>
          <w:tcPr>
            <w:tcW w:w="1769" w:type="dxa"/>
            <w:vAlign w:val="center"/>
          </w:tcPr>
          <w:p w:rsidR="00AC7CEF" w:rsidRDefault="008F0B23">
            <w:pPr>
              <w:jc w:val="center"/>
            </w:pPr>
            <w:r>
              <w:rPr>
                <w:color w:val="000000"/>
                <w:sz w:val="24"/>
                <w:szCs w:val="24"/>
              </w:rPr>
              <w:t>19</w:t>
            </w:r>
            <w:r>
              <w:rPr>
                <w:color w:val="000000"/>
                <w:sz w:val="24"/>
                <w:szCs w:val="24"/>
              </w:rPr>
              <w:t>宁波银行</w:t>
            </w:r>
            <w:r>
              <w:rPr>
                <w:color w:val="000000"/>
                <w:sz w:val="24"/>
                <w:szCs w:val="24"/>
              </w:rPr>
              <w:t>CD205</w:t>
            </w:r>
          </w:p>
        </w:tc>
        <w:tc>
          <w:tcPr>
            <w:tcW w:w="1387" w:type="dxa"/>
            <w:vAlign w:val="center"/>
          </w:tcPr>
          <w:p w:rsidR="00AC7CEF" w:rsidRDefault="008F0B23">
            <w:pPr>
              <w:jc w:val="right"/>
            </w:pPr>
            <w:r>
              <w:rPr>
                <w:color w:val="000000"/>
                <w:sz w:val="24"/>
                <w:szCs w:val="24"/>
              </w:rPr>
              <w:t>1,000,000</w:t>
            </w:r>
          </w:p>
        </w:tc>
        <w:tc>
          <w:tcPr>
            <w:tcW w:w="2150" w:type="dxa"/>
            <w:vAlign w:val="center"/>
          </w:tcPr>
          <w:p w:rsidR="00AC7CEF" w:rsidRDefault="008F0B23">
            <w:pPr>
              <w:jc w:val="right"/>
            </w:pPr>
            <w:r>
              <w:rPr>
                <w:color w:val="000000"/>
                <w:sz w:val="24"/>
                <w:szCs w:val="24"/>
              </w:rPr>
              <w:t>98,580,000.00</w:t>
            </w:r>
          </w:p>
        </w:tc>
        <w:tc>
          <w:tcPr>
            <w:tcW w:w="1237" w:type="dxa"/>
            <w:vAlign w:val="center"/>
          </w:tcPr>
          <w:p w:rsidR="00AC7CEF" w:rsidRDefault="008F0B23">
            <w:pPr>
              <w:jc w:val="right"/>
            </w:pPr>
            <w:r>
              <w:rPr>
                <w:color w:val="000000"/>
                <w:sz w:val="24"/>
                <w:szCs w:val="24"/>
              </w:rPr>
              <w:t>3.16</w:t>
            </w:r>
          </w:p>
        </w:tc>
      </w:tr>
      <w:tr w:rsidR="00AC7CEF">
        <w:trPr>
          <w:jc w:val="center"/>
        </w:trPr>
        <w:tc>
          <w:tcPr>
            <w:tcW w:w="850" w:type="dxa"/>
            <w:vAlign w:val="center"/>
          </w:tcPr>
          <w:p w:rsidR="00AC7CEF" w:rsidRDefault="008F0B23">
            <w:pPr>
              <w:jc w:val="center"/>
            </w:pPr>
            <w:r>
              <w:rPr>
                <w:color w:val="000000"/>
                <w:sz w:val="24"/>
                <w:szCs w:val="24"/>
              </w:rPr>
              <w:t>3</w:t>
            </w:r>
          </w:p>
        </w:tc>
        <w:tc>
          <w:tcPr>
            <w:tcW w:w="1475" w:type="dxa"/>
            <w:vAlign w:val="center"/>
          </w:tcPr>
          <w:p w:rsidR="00AC7CEF" w:rsidRDefault="008F0B23">
            <w:pPr>
              <w:jc w:val="center"/>
            </w:pPr>
            <w:r>
              <w:rPr>
                <w:color w:val="000000"/>
                <w:sz w:val="24"/>
                <w:szCs w:val="24"/>
              </w:rPr>
              <w:t>111989086</w:t>
            </w:r>
          </w:p>
        </w:tc>
        <w:tc>
          <w:tcPr>
            <w:tcW w:w="1769" w:type="dxa"/>
            <w:vAlign w:val="center"/>
          </w:tcPr>
          <w:p w:rsidR="00AC7CEF" w:rsidRDefault="008F0B23">
            <w:pPr>
              <w:jc w:val="center"/>
            </w:pPr>
            <w:r>
              <w:rPr>
                <w:color w:val="000000"/>
                <w:sz w:val="24"/>
                <w:szCs w:val="24"/>
              </w:rPr>
              <w:t>19</w:t>
            </w:r>
            <w:r>
              <w:rPr>
                <w:color w:val="000000"/>
                <w:sz w:val="24"/>
                <w:szCs w:val="24"/>
              </w:rPr>
              <w:t>宁波银行</w:t>
            </w:r>
            <w:r>
              <w:rPr>
                <w:color w:val="000000"/>
                <w:sz w:val="24"/>
                <w:szCs w:val="24"/>
              </w:rPr>
              <w:t>CD207</w:t>
            </w:r>
          </w:p>
        </w:tc>
        <w:tc>
          <w:tcPr>
            <w:tcW w:w="1387" w:type="dxa"/>
            <w:vAlign w:val="center"/>
          </w:tcPr>
          <w:p w:rsidR="00AC7CEF" w:rsidRDefault="008F0B23">
            <w:pPr>
              <w:jc w:val="right"/>
            </w:pPr>
            <w:r>
              <w:rPr>
                <w:color w:val="000000"/>
                <w:sz w:val="24"/>
                <w:szCs w:val="24"/>
              </w:rPr>
              <w:t>1,000,000</w:t>
            </w:r>
          </w:p>
        </w:tc>
        <w:tc>
          <w:tcPr>
            <w:tcW w:w="2150" w:type="dxa"/>
            <w:vAlign w:val="center"/>
          </w:tcPr>
          <w:p w:rsidR="00AC7CEF" w:rsidRDefault="008F0B23">
            <w:pPr>
              <w:jc w:val="right"/>
            </w:pPr>
            <w:r>
              <w:rPr>
                <w:color w:val="000000"/>
                <w:sz w:val="24"/>
                <w:szCs w:val="24"/>
              </w:rPr>
              <w:t>98,580,000.00</w:t>
            </w:r>
          </w:p>
        </w:tc>
        <w:tc>
          <w:tcPr>
            <w:tcW w:w="1237" w:type="dxa"/>
            <w:vAlign w:val="center"/>
          </w:tcPr>
          <w:p w:rsidR="00AC7CEF" w:rsidRDefault="008F0B23">
            <w:pPr>
              <w:jc w:val="right"/>
            </w:pPr>
            <w:r>
              <w:rPr>
                <w:color w:val="000000"/>
                <w:sz w:val="24"/>
                <w:szCs w:val="24"/>
              </w:rPr>
              <w:t>3.16</w:t>
            </w:r>
          </w:p>
        </w:tc>
      </w:tr>
      <w:tr w:rsidR="00AC7CEF">
        <w:trPr>
          <w:jc w:val="center"/>
        </w:trPr>
        <w:tc>
          <w:tcPr>
            <w:tcW w:w="850" w:type="dxa"/>
            <w:vAlign w:val="center"/>
          </w:tcPr>
          <w:p w:rsidR="00AC7CEF" w:rsidRDefault="008F0B23">
            <w:pPr>
              <w:jc w:val="center"/>
            </w:pPr>
            <w:r>
              <w:rPr>
                <w:color w:val="000000"/>
                <w:sz w:val="24"/>
                <w:szCs w:val="24"/>
              </w:rPr>
              <w:t>4</w:t>
            </w:r>
          </w:p>
        </w:tc>
        <w:tc>
          <w:tcPr>
            <w:tcW w:w="1475" w:type="dxa"/>
            <w:vAlign w:val="center"/>
          </w:tcPr>
          <w:p w:rsidR="00AC7CEF" w:rsidRDefault="008F0B23">
            <w:pPr>
              <w:jc w:val="center"/>
            </w:pPr>
            <w:r>
              <w:rPr>
                <w:color w:val="000000"/>
                <w:sz w:val="24"/>
                <w:szCs w:val="24"/>
              </w:rPr>
              <w:t>111988995</w:t>
            </w:r>
          </w:p>
        </w:tc>
        <w:tc>
          <w:tcPr>
            <w:tcW w:w="1769" w:type="dxa"/>
            <w:vAlign w:val="center"/>
          </w:tcPr>
          <w:p w:rsidR="00AC7CEF" w:rsidRDefault="008F0B23">
            <w:pPr>
              <w:jc w:val="center"/>
            </w:pPr>
            <w:r>
              <w:rPr>
                <w:color w:val="000000"/>
                <w:sz w:val="24"/>
                <w:szCs w:val="24"/>
              </w:rPr>
              <w:t>19</w:t>
            </w:r>
            <w:r>
              <w:rPr>
                <w:color w:val="000000"/>
                <w:sz w:val="24"/>
                <w:szCs w:val="24"/>
              </w:rPr>
              <w:t>广州农村商业银行</w:t>
            </w:r>
            <w:r>
              <w:rPr>
                <w:color w:val="000000"/>
                <w:sz w:val="24"/>
                <w:szCs w:val="24"/>
              </w:rPr>
              <w:t>CD117</w:t>
            </w:r>
          </w:p>
        </w:tc>
        <w:tc>
          <w:tcPr>
            <w:tcW w:w="1387" w:type="dxa"/>
            <w:vAlign w:val="center"/>
          </w:tcPr>
          <w:p w:rsidR="00AC7CEF" w:rsidRDefault="008F0B23">
            <w:pPr>
              <w:jc w:val="right"/>
            </w:pPr>
            <w:r>
              <w:rPr>
                <w:color w:val="000000"/>
                <w:sz w:val="24"/>
                <w:szCs w:val="24"/>
              </w:rPr>
              <w:t>1,000,000</w:t>
            </w:r>
          </w:p>
        </w:tc>
        <w:tc>
          <w:tcPr>
            <w:tcW w:w="2150" w:type="dxa"/>
            <w:vAlign w:val="center"/>
          </w:tcPr>
          <w:p w:rsidR="00AC7CEF" w:rsidRDefault="008F0B23">
            <w:pPr>
              <w:jc w:val="right"/>
            </w:pPr>
            <w:r>
              <w:rPr>
                <w:color w:val="000000"/>
                <w:sz w:val="24"/>
                <w:szCs w:val="24"/>
              </w:rPr>
              <w:t>98,560,000.00</w:t>
            </w:r>
          </w:p>
        </w:tc>
        <w:tc>
          <w:tcPr>
            <w:tcW w:w="1237" w:type="dxa"/>
            <w:vAlign w:val="center"/>
          </w:tcPr>
          <w:p w:rsidR="00AC7CEF" w:rsidRDefault="008F0B23">
            <w:pPr>
              <w:jc w:val="right"/>
            </w:pPr>
            <w:r>
              <w:rPr>
                <w:color w:val="000000"/>
                <w:sz w:val="24"/>
                <w:szCs w:val="24"/>
              </w:rPr>
              <w:t>3.16</w:t>
            </w:r>
          </w:p>
        </w:tc>
      </w:tr>
      <w:tr w:rsidR="00AC7CEF">
        <w:trPr>
          <w:jc w:val="center"/>
        </w:trPr>
        <w:tc>
          <w:tcPr>
            <w:tcW w:w="850" w:type="dxa"/>
            <w:vAlign w:val="center"/>
          </w:tcPr>
          <w:p w:rsidR="00AC7CEF" w:rsidRDefault="008F0B23">
            <w:pPr>
              <w:jc w:val="center"/>
            </w:pPr>
            <w:r>
              <w:rPr>
                <w:color w:val="000000"/>
                <w:sz w:val="24"/>
                <w:szCs w:val="24"/>
              </w:rPr>
              <w:t>5</w:t>
            </w:r>
          </w:p>
        </w:tc>
        <w:tc>
          <w:tcPr>
            <w:tcW w:w="1475" w:type="dxa"/>
            <w:vAlign w:val="center"/>
          </w:tcPr>
          <w:p w:rsidR="00AC7CEF" w:rsidRDefault="008F0B23">
            <w:pPr>
              <w:jc w:val="center"/>
            </w:pPr>
            <w:r>
              <w:rPr>
                <w:color w:val="000000"/>
                <w:sz w:val="24"/>
                <w:szCs w:val="24"/>
              </w:rPr>
              <w:t>111989088</w:t>
            </w:r>
          </w:p>
        </w:tc>
        <w:tc>
          <w:tcPr>
            <w:tcW w:w="1769" w:type="dxa"/>
            <w:vAlign w:val="center"/>
          </w:tcPr>
          <w:p w:rsidR="00AC7CEF" w:rsidRDefault="008F0B23">
            <w:pPr>
              <w:jc w:val="center"/>
            </w:pPr>
            <w:r>
              <w:rPr>
                <w:color w:val="000000"/>
                <w:sz w:val="24"/>
                <w:szCs w:val="24"/>
              </w:rPr>
              <w:t>19</w:t>
            </w:r>
            <w:r>
              <w:rPr>
                <w:color w:val="000000"/>
                <w:sz w:val="24"/>
                <w:szCs w:val="24"/>
              </w:rPr>
              <w:t>贵阳银行</w:t>
            </w:r>
            <w:r>
              <w:rPr>
                <w:color w:val="000000"/>
                <w:sz w:val="24"/>
                <w:szCs w:val="24"/>
              </w:rPr>
              <w:t>CD124</w:t>
            </w:r>
          </w:p>
        </w:tc>
        <w:tc>
          <w:tcPr>
            <w:tcW w:w="1387" w:type="dxa"/>
            <w:vAlign w:val="center"/>
          </w:tcPr>
          <w:p w:rsidR="00AC7CEF" w:rsidRDefault="008F0B23">
            <w:pPr>
              <w:jc w:val="right"/>
            </w:pPr>
            <w:r>
              <w:rPr>
                <w:color w:val="000000"/>
                <w:sz w:val="24"/>
                <w:szCs w:val="24"/>
              </w:rPr>
              <w:t>1,000,000</w:t>
            </w:r>
          </w:p>
        </w:tc>
        <w:tc>
          <w:tcPr>
            <w:tcW w:w="2150" w:type="dxa"/>
            <w:vAlign w:val="center"/>
          </w:tcPr>
          <w:p w:rsidR="00AC7CEF" w:rsidRDefault="008F0B23">
            <w:pPr>
              <w:jc w:val="right"/>
            </w:pPr>
            <w:r>
              <w:rPr>
                <w:color w:val="000000"/>
                <w:sz w:val="24"/>
                <w:szCs w:val="24"/>
              </w:rPr>
              <w:t>98,550,000.00</w:t>
            </w:r>
          </w:p>
        </w:tc>
        <w:tc>
          <w:tcPr>
            <w:tcW w:w="1237" w:type="dxa"/>
            <w:vAlign w:val="center"/>
          </w:tcPr>
          <w:p w:rsidR="00AC7CEF" w:rsidRDefault="008F0B23">
            <w:pPr>
              <w:jc w:val="right"/>
            </w:pPr>
            <w:r>
              <w:rPr>
                <w:color w:val="000000"/>
                <w:sz w:val="24"/>
                <w:szCs w:val="24"/>
              </w:rPr>
              <w:t>3.16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1,063,201.90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7,153,657.66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8,216,859.56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C7CEF">
        <w:trPr>
          <w:jc w:val="center"/>
        </w:trPr>
        <w:tc>
          <w:tcPr>
            <w:tcW w:w="1129" w:type="dxa"/>
            <w:vAlign w:val="center"/>
          </w:tcPr>
          <w:p w:rsidR="00AC7CEF" w:rsidRDefault="008F0B23">
            <w:pPr>
              <w:jc w:val="center"/>
            </w:pPr>
            <w:r>
              <w:rPr>
                <w:color w:val="000000"/>
                <w:sz w:val="24"/>
                <w:szCs w:val="24"/>
              </w:rPr>
              <w:t>1</w:t>
            </w:r>
          </w:p>
        </w:tc>
        <w:tc>
          <w:tcPr>
            <w:tcW w:w="1356" w:type="dxa"/>
            <w:vAlign w:val="center"/>
          </w:tcPr>
          <w:p w:rsidR="00AC7CEF" w:rsidRDefault="008F0B23">
            <w:pPr>
              <w:jc w:val="center"/>
            </w:pPr>
            <w:r>
              <w:rPr>
                <w:color w:val="000000"/>
                <w:sz w:val="24"/>
                <w:szCs w:val="24"/>
              </w:rPr>
              <w:t>603882</w:t>
            </w:r>
          </w:p>
        </w:tc>
        <w:tc>
          <w:tcPr>
            <w:tcW w:w="1355" w:type="dxa"/>
            <w:vAlign w:val="center"/>
          </w:tcPr>
          <w:p w:rsidR="00AC7CEF" w:rsidRDefault="008F0B23">
            <w:pPr>
              <w:jc w:val="center"/>
            </w:pPr>
            <w:r>
              <w:rPr>
                <w:color w:val="000000"/>
                <w:sz w:val="24"/>
                <w:szCs w:val="24"/>
              </w:rPr>
              <w:t>金域医学</w:t>
            </w:r>
          </w:p>
        </w:tc>
        <w:tc>
          <w:tcPr>
            <w:tcW w:w="1880" w:type="dxa"/>
            <w:vAlign w:val="center"/>
          </w:tcPr>
          <w:p w:rsidR="00AC7CEF" w:rsidRDefault="008F0B23">
            <w:pPr>
              <w:jc w:val="right"/>
            </w:pPr>
            <w:r>
              <w:rPr>
                <w:color w:val="000000"/>
                <w:sz w:val="24"/>
                <w:szCs w:val="24"/>
              </w:rPr>
              <w:t>58,992,000.00</w:t>
            </w:r>
          </w:p>
        </w:tc>
        <w:tc>
          <w:tcPr>
            <w:tcW w:w="1724" w:type="dxa"/>
            <w:vAlign w:val="center"/>
          </w:tcPr>
          <w:p w:rsidR="00AC7CEF" w:rsidRDefault="008F0B23">
            <w:pPr>
              <w:jc w:val="right"/>
            </w:pPr>
            <w:r>
              <w:rPr>
                <w:color w:val="000000"/>
                <w:sz w:val="24"/>
                <w:szCs w:val="24"/>
              </w:rPr>
              <w:t>1.89</w:t>
            </w:r>
          </w:p>
        </w:tc>
        <w:tc>
          <w:tcPr>
            <w:tcW w:w="1424" w:type="dxa"/>
            <w:vAlign w:val="center"/>
          </w:tcPr>
          <w:p w:rsidR="00AC7CEF" w:rsidRDefault="008F0B23">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0B23"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2,964,855,301.50</w:t>
            </w:r>
          </w:p>
        </w:tc>
      </w:tr>
      <w:tr w:rsidR="008F0B23"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F0B23" w:rsidRPr="00414345" w:rsidRDefault="008F0B23"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F0B23" w:rsidRPr="00414345" w:rsidRDefault="008F4FB4"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2,964,855,301.50</w:t>
            </w:r>
            <w:bookmarkStart w:id="0" w:name="_GoBack"/>
            <w:bookmarkEnd w:id="0"/>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2,964,855,301.50</w:t>
            </w:r>
          </w:p>
        </w:tc>
      </w:tr>
    </w:tbl>
    <w:p w:rsidR="00AC7CEF" w:rsidRDefault="008F0B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C7CEF" w:rsidRDefault="008F0B2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、中国证监会准予交银施罗德瑞丰三年封闭运作混合型证券投资基金募集注册的文件；</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、《交银施罗德瑞丰三年封闭运作混合型证券投资基金基金合同》；</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、《交银施罗德瑞丰三年封闭运作混合型证券投资基金招募说明书》；</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、《交银施罗德瑞丰三年封闭运作混合型证券投资基金托管协议》；</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、关于申请募集注册交银施罗德瑞丰三年封闭运作混合型证券投资基金的法律意见书；</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C7CEF" w:rsidRDefault="008F0B2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、报告期内交银施罗德瑞丰三年封闭运作混合型证券投资基金在指定报刊上各项公告的原稿。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C7CEF" w:rsidRDefault="008F0B2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F4FB4">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F4FB4">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交银施罗德瑞丰三年封闭运作混合型证券投资基金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0B23"/>
    <w:rsid w:val="008F3B64"/>
    <w:rsid w:val="008F4FB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C7CEF"/>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5F81-C0BA-41AB-BACE-8AE06923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13</Pages>
  <Words>1141</Words>
  <Characters>6505</Characters>
  <Application>Microsoft Office Word</Application>
  <DocSecurity>0</DocSecurity>
  <Lines>54</Lines>
  <Paragraphs>15</Paragraphs>
  <ScaleCrop>false</ScaleCrop>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贾金勇</cp:lastModifiedBy>
  <cp:revision>599</cp:revision>
  <dcterms:created xsi:type="dcterms:W3CDTF">2012-10-16T06:07:00Z</dcterms:created>
  <dcterms:modified xsi:type="dcterms:W3CDTF">2020-01-13T06:42:00Z</dcterms:modified>
</cp:coreProperties>
</file>