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2,409,940,419.59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355,958,063.84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509,085,166.65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0.2707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4,756,728,420.85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1.9738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15.89%</w:t>
            </w:r>
          </w:p>
        </w:tc>
        <w:tc>
          <w:tcPr>
            <w:vAlign w:val="center"/>
          </w:tcPr>
          <w:p>
            <w:pPr>
              <w:jc w:val="center"/>
            </w:pPr>
            <w:r>
              <w:rPr>
                <w:color w:val="000000"/>
                <w:sz w:val="24"/>
                <w:szCs w:val="24"/>
              </w:rPr>
              <w:t>1.22%</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10.97%</w:t>
            </w:r>
          </w:p>
        </w:tc>
        <w:tc>
          <w:tcPr>
            <w:vAlign w:val="center"/>
          </w:tcPr>
          <w:p>
            <w:pPr>
              <w:jc w:val="center"/>
            </w:pPr>
            <w:r>
              <w:rPr>
                <w:color w:val="000000"/>
                <w:sz w:val="24"/>
                <w:szCs w:val="24"/>
              </w:rPr>
              <w:t>0.78%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随着中美贸易谈判第一阶段进展的逐渐明朗，市场迎来了久违的暖冬。经济阶段性回温的周期幻觉叠加市场风险偏好的显著回升，使得低位滞涨品种与核心资产的估值收敛以前者大幅补涨的形式得以实现。</w:t>
      </w:r>
    </w:p>
    <w:p>
      <w:pPr>
        <w:spacing w:before="29" w:line="288" w:lineRule="auto"/>
        <w:ind w:firstLine="480" w:firstLineChars="200"/>
        <w:rPr>
          <w:color w:val="000000"/>
          <w:sz w:val="24"/>
          <w:szCs w:val="24"/>
        </w:rPr>
      </w:pPr>
      <w:r>
        <w:rPr>
          <w:color w:val="000000"/>
          <w:sz w:val="24"/>
          <w:szCs w:val="24"/>
        </w:rPr>
        <w:t>报告期内，本基金重点配置了新能源汽车、创新硬件、5G、半导体、智能装备、产业信息化等领域的成长股以及部分金融地产蓝筹。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面对暂时无法证伪的经济补库存逻辑与部分成长类资产的估值性价比矛盾，我们试图让组合配置更加均衡。尽管如此，我们越发清晰地看到科技赋能各行业的新应用新业态已开始逐渐崭露头角乃至喷薄而出。我们仍然坚信以科技为代表的成长股在2020年最有可为。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4,145,038,694.34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4,145,038,694.34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318,900.00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318,900.00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639,180,172.16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217,221,642.25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5,001,759,408.75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24,374,470.00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34,213,105.08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2,889,904,897.57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35,235,589.50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348,607,256.00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93,623,376.00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482,635,687.63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139,704,307.56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158,153.04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96,575,273.92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4,145,038,694.34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87.14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8,074,580</w:t>
            </w:r>
          </w:p>
        </w:tc>
        <w:tc>
          <w:tcPr>
            <w:vAlign w:val="center"/>
          </w:tcPr>
          <w:p>
            <w:pPr>
              <w:jc w:val="right"/>
            </w:pPr>
            <w:r>
              <w:rPr>
                <w:color w:val="000000"/>
                <w:sz w:val="24"/>
                <w:szCs w:val="24"/>
              </w:rPr>
              <w:t>405,020,932.80</w:t>
            </w:r>
          </w:p>
        </w:tc>
        <w:tc>
          <w:tcPr>
            <w:vAlign w:val="center"/>
          </w:tcPr>
          <w:p>
            <w:pPr>
              <w:jc w:val="right"/>
            </w:pPr>
            <w:r>
              <w:rPr>
                <w:color w:val="000000"/>
                <w:sz w:val="24"/>
                <w:szCs w:val="24"/>
              </w:rPr>
              <w:t>8.51</w:t>
            </w:r>
          </w:p>
        </w:tc>
      </w:tr>
      <w:tr>
        <w:tc>
          <w:tcPr>
            <w:vAlign w:val="center"/>
          </w:tcPr>
          <w:p>
            <w:pPr>
              <w:jc w:val="center"/>
            </w:pPr>
            <w:r>
              <w:rPr>
                <w:color w:val="000000"/>
                <w:sz w:val="24"/>
                <w:szCs w:val="24"/>
              </w:rPr>
              <w:t>2</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7,952,010</w:t>
            </w:r>
          </w:p>
        </w:tc>
        <w:tc>
          <w:tcPr>
            <w:vAlign w:val="center"/>
          </w:tcPr>
          <w:p>
            <w:pPr>
              <w:jc w:val="right"/>
            </w:pPr>
            <w:r>
              <w:rPr>
                <w:color w:val="000000"/>
                <w:sz w:val="24"/>
                <w:szCs w:val="24"/>
              </w:rPr>
              <w:t>290,248,365.00</w:t>
            </w:r>
          </w:p>
        </w:tc>
        <w:tc>
          <w:tcPr>
            <w:vAlign w:val="center"/>
          </w:tcPr>
          <w:p>
            <w:pPr>
              <w:jc w:val="right"/>
            </w:pPr>
            <w:r>
              <w:rPr>
                <w:color w:val="000000"/>
                <w:sz w:val="24"/>
                <w:szCs w:val="24"/>
              </w:rPr>
              <w:t>6.10</w:t>
            </w:r>
          </w:p>
        </w:tc>
      </w:tr>
      <w:tr>
        <w:tc>
          <w:tcPr>
            <w:vAlign w:val="center"/>
          </w:tcPr>
          <w:p>
            <w:pPr>
              <w:jc w:val="center"/>
            </w:pPr>
            <w:r>
              <w:rPr>
                <w:color w:val="000000"/>
                <w:sz w:val="24"/>
                <w:szCs w:val="24"/>
              </w:rPr>
              <w:t>3</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12,327,123</w:t>
            </w:r>
          </w:p>
        </w:tc>
        <w:tc>
          <w:tcPr>
            <w:vAlign w:val="center"/>
          </w:tcPr>
          <w:p>
            <w:pPr>
              <w:jc w:val="right"/>
            </w:pPr>
            <w:r>
              <w:rPr>
                <w:color w:val="000000"/>
                <w:sz w:val="24"/>
                <w:szCs w:val="24"/>
              </w:rPr>
              <w:t>235,817,862.99</w:t>
            </w:r>
          </w:p>
        </w:tc>
        <w:tc>
          <w:tcPr>
            <w:vAlign w:val="center"/>
          </w:tcPr>
          <w:p>
            <w:pPr>
              <w:jc w:val="right"/>
            </w:pPr>
            <w:r>
              <w:rPr>
                <w:color w:val="000000"/>
                <w:sz w:val="24"/>
                <w:szCs w:val="24"/>
              </w:rPr>
              <w:t>4.96</w:t>
            </w:r>
          </w:p>
        </w:tc>
      </w:tr>
      <w:tr>
        <w:tc>
          <w:tcPr>
            <w:vAlign w:val="center"/>
          </w:tcPr>
          <w:p>
            <w:pPr>
              <w:jc w:val="center"/>
            </w:pPr>
            <w:r>
              <w:rPr>
                <w:color w:val="000000"/>
                <w:sz w:val="24"/>
                <w:szCs w:val="24"/>
              </w:rPr>
              <w:t>4</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12,909,500</w:t>
            </w:r>
          </w:p>
        </w:tc>
        <w:tc>
          <w:tcPr>
            <w:vAlign w:val="center"/>
          </w:tcPr>
          <w:p>
            <w:pPr>
              <w:jc w:val="right"/>
            </w:pPr>
            <w:r>
              <w:rPr>
                <w:color w:val="000000"/>
                <w:sz w:val="24"/>
                <w:szCs w:val="24"/>
              </w:rPr>
              <w:t>208,875,710.00</w:t>
            </w:r>
          </w:p>
        </w:tc>
        <w:tc>
          <w:tcPr>
            <w:vAlign w:val="center"/>
          </w:tcPr>
          <w:p>
            <w:pPr>
              <w:jc w:val="right"/>
            </w:pPr>
            <w:r>
              <w:rPr>
                <w:color w:val="000000"/>
                <w:sz w:val="24"/>
                <w:szCs w:val="24"/>
              </w:rPr>
              <w:t>4.39</w:t>
            </w:r>
          </w:p>
        </w:tc>
      </w:tr>
      <w:tr>
        <w:tc>
          <w:tcPr>
            <w:vAlign w:val="center"/>
          </w:tcPr>
          <w:p>
            <w:pPr>
              <w:jc w:val="center"/>
            </w:pPr>
            <w:r>
              <w:rPr>
                <w:color w:val="000000"/>
                <w:sz w:val="24"/>
                <w:szCs w:val="24"/>
              </w:rPr>
              <w:t>5</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4,364,100</w:t>
            </w:r>
          </w:p>
        </w:tc>
        <w:tc>
          <w:tcPr>
            <w:vAlign w:val="center"/>
          </w:tcPr>
          <w:p>
            <w:pPr>
              <w:jc w:val="right"/>
            </w:pPr>
            <w:r>
              <w:rPr>
                <w:color w:val="000000"/>
                <w:sz w:val="24"/>
                <w:szCs w:val="24"/>
              </w:rPr>
              <w:t>140,436,738.00</w:t>
            </w:r>
          </w:p>
        </w:tc>
        <w:tc>
          <w:tcPr>
            <w:vAlign w:val="center"/>
          </w:tcPr>
          <w:p>
            <w:pPr>
              <w:jc w:val="right"/>
            </w:pPr>
            <w:r>
              <w:rPr>
                <w:color w:val="000000"/>
                <w:sz w:val="24"/>
                <w:szCs w:val="24"/>
              </w:rPr>
              <w:t>2.95</w:t>
            </w:r>
          </w:p>
        </w:tc>
      </w:tr>
      <w:tr>
        <w:tc>
          <w:tcPr>
            <w:vAlign w:val="center"/>
          </w:tcPr>
          <w:p>
            <w:pPr>
              <w:jc w:val="center"/>
            </w:pPr>
            <w:r>
              <w:rPr>
                <w:color w:val="000000"/>
                <w:sz w:val="24"/>
                <w:szCs w:val="24"/>
              </w:rPr>
              <w:t>6</w:t>
            </w:r>
          </w:p>
        </w:tc>
        <w:tc>
          <w:tcPr>
            <w:vAlign w:val="center"/>
          </w:tcPr>
          <w:p>
            <w:pPr>
              <w:jc w:val="center"/>
            </w:pPr>
            <w:r>
              <w:rPr>
                <w:color w:val="000000"/>
                <w:sz w:val="24"/>
                <w:szCs w:val="24"/>
              </w:rPr>
              <w:t>002185</w:t>
            </w:r>
          </w:p>
        </w:tc>
        <w:tc>
          <w:tcPr>
            <w:vAlign w:val="center"/>
          </w:tcPr>
          <w:p>
            <w:pPr>
              <w:jc w:val="center"/>
            </w:pPr>
            <w:r>
              <w:rPr>
                <w:color w:val="000000"/>
                <w:sz w:val="24"/>
                <w:szCs w:val="24"/>
              </w:rPr>
              <w:t>华天科技</w:t>
            </w:r>
          </w:p>
        </w:tc>
        <w:tc>
          <w:tcPr>
            <w:vAlign w:val="center"/>
          </w:tcPr>
          <w:p>
            <w:pPr>
              <w:jc w:val="right"/>
            </w:pPr>
            <w:r>
              <w:rPr>
                <w:color w:val="000000"/>
                <w:sz w:val="24"/>
                <w:szCs w:val="24"/>
              </w:rPr>
              <w:t>18,489,520</w:t>
            </w:r>
          </w:p>
        </w:tc>
        <w:tc>
          <w:tcPr>
            <w:vAlign w:val="center"/>
          </w:tcPr>
          <w:p>
            <w:pPr>
              <w:jc w:val="right"/>
            </w:pPr>
            <w:r>
              <w:rPr>
                <w:color w:val="000000"/>
                <w:sz w:val="24"/>
                <w:szCs w:val="24"/>
              </w:rPr>
              <w:t>138,116,714.40</w:t>
            </w:r>
          </w:p>
        </w:tc>
        <w:tc>
          <w:tcPr>
            <w:vAlign w:val="center"/>
          </w:tcPr>
          <w:p>
            <w:pPr>
              <w:jc w:val="right"/>
            </w:pPr>
            <w:r>
              <w:rPr>
                <w:color w:val="000000"/>
                <w:sz w:val="24"/>
                <w:szCs w:val="24"/>
              </w:rPr>
              <w:t>2.90</w:t>
            </w:r>
          </w:p>
        </w:tc>
      </w:tr>
      <w:tr>
        <w:tc>
          <w:tcPr>
            <w:vAlign w:val="center"/>
          </w:tcPr>
          <w:p>
            <w:pPr>
              <w:jc w:val="center"/>
            </w:pPr>
            <w:r>
              <w:rPr>
                <w:color w:val="000000"/>
                <w:sz w:val="24"/>
                <w:szCs w:val="24"/>
              </w:rPr>
              <w:t>7</w:t>
            </w:r>
          </w:p>
        </w:tc>
        <w:tc>
          <w:tcPr>
            <w:vAlign w:val="center"/>
          </w:tcPr>
          <w:p>
            <w:pPr>
              <w:jc w:val="center"/>
            </w:pPr>
            <w:r>
              <w:rPr>
                <w:color w:val="000000"/>
                <w:sz w:val="24"/>
                <w:szCs w:val="24"/>
              </w:rPr>
              <w:t>000100</w:t>
            </w:r>
          </w:p>
        </w:tc>
        <w:tc>
          <w:tcPr>
            <w:vAlign w:val="center"/>
          </w:tcPr>
          <w:p>
            <w:pPr>
              <w:jc w:val="center"/>
            </w:pPr>
            <w:r>
              <w:rPr>
                <w:color w:val="000000"/>
                <w:sz w:val="24"/>
                <w:szCs w:val="24"/>
              </w:rPr>
              <w:t>TCL集团</w:t>
            </w:r>
          </w:p>
        </w:tc>
        <w:tc>
          <w:tcPr>
            <w:vAlign w:val="center"/>
          </w:tcPr>
          <w:p>
            <w:pPr>
              <w:jc w:val="right"/>
            </w:pPr>
            <w:r>
              <w:rPr>
                <w:color w:val="000000"/>
                <w:sz w:val="24"/>
                <w:szCs w:val="24"/>
              </w:rPr>
              <w:t>29,153,559</w:t>
            </w:r>
          </w:p>
        </w:tc>
        <w:tc>
          <w:tcPr>
            <w:vAlign w:val="center"/>
          </w:tcPr>
          <w:p>
            <w:pPr>
              <w:jc w:val="right"/>
            </w:pPr>
            <w:r>
              <w:rPr>
                <w:color w:val="000000"/>
                <w:sz w:val="24"/>
                <w:szCs w:val="24"/>
              </w:rPr>
              <w:t>130,316,408.73</w:t>
            </w:r>
          </w:p>
        </w:tc>
        <w:tc>
          <w:tcPr>
            <w:vAlign w:val="center"/>
          </w:tcPr>
          <w:p>
            <w:pPr>
              <w:jc w:val="right"/>
            </w:pPr>
            <w:r>
              <w:rPr>
                <w:color w:val="000000"/>
                <w:sz w:val="24"/>
                <w:szCs w:val="24"/>
              </w:rPr>
              <w:t>2.74</w:t>
            </w:r>
          </w:p>
        </w:tc>
      </w:tr>
      <w:tr>
        <w:tc>
          <w:tcPr>
            <w:vAlign w:val="center"/>
          </w:tcPr>
          <w:p>
            <w:pPr>
              <w:jc w:val="center"/>
            </w:pPr>
            <w:r>
              <w:rPr>
                <w:color w:val="000000"/>
                <w:sz w:val="24"/>
                <w:szCs w:val="24"/>
              </w:rPr>
              <w:t>8</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6,123,350</w:t>
            </w:r>
          </w:p>
        </w:tc>
        <w:tc>
          <w:tcPr>
            <w:vAlign w:val="center"/>
          </w:tcPr>
          <w:p>
            <w:pPr>
              <w:jc w:val="right"/>
            </w:pPr>
            <w:r>
              <w:rPr>
                <w:color w:val="000000"/>
                <w:sz w:val="24"/>
                <w:szCs w:val="24"/>
              </w:rPr>
              <w:t>119,527,792.00</w:t>
            </w:r>
          </w:p>
        </w:tc>
        <w:tc>
          <w:tcPr>
            <w:vAlign w:val="center"/>
          </w:tcPr>
          <w:p>
            <w:pPr>
              <w:jc w:val="right"/>
            </w:pPr>
            <w:r>
              <w:rPr>
                <w:color w:val="000000"/>
                <w:sz w:val="24"/>
                <w:szCs w:val="24"/>
              </w:rPr>
              <w:t>2.51</w:t>
            </w:r>
          </w:p>
        </w:tc>
      </w:tr>
      <w:tr>
        <w:tc>
          <w:tcPr>
            <w:vAlign w:val="center"/>
          </w:tcPr>
          <w:p>
            <w:pPr>
              <w:jc w:val="center"/>
            </w:pPr>
            <w:r>
              <w:rPr>
                <w:color w:val="000000"/>
                <w:sz w:val="24"/>
                <w:szCs w:val="24"/>
              </w:rPr>
              <w:t>9</w:t>
            </w:r>
          </w:p>
        </w:tc>
        <w:tc>
          <w:tcPr>
            <w:vAlign w:val="center"/>
          </w:tcPr>
          <w:p>
            <w:pPr>
              <w:jc w:val="center"/>
            </w:pPr>
            <w:r>
              <w:rPr>
                <w:color w:val="000000"/>
                <w:sz w:val="24"/>
                <w:szCs w:val="24"/>
              </w:rPr>
              <w:t>300327</w:t>
            </w:r>
          </w:p>
        </w:tc>
        <w:tc>
          <w:tcPr>
            <w:vAlign w:val="center"/>
          </w:tcPr>
          <w:p>
            <w:pPr>
              <w:jc w:val="center"/>
            </w:pPr>
            <w:r>
              <w:rPr>
                <w:color w:val="000000"/>
                <w:sz w:val="24"/>
                <w:szCs w:val="24"/>
              </w:rPr>
              <w:t>中颖电子</w:t>
            </w:r>
          </w:p>
        </w:tc>
        <w:tc>
          <w:tcPr>
            <w:vAlign w:val="center"/>
          </w:tcPr>
          <w:p>
            <w:pPr>
              <w:jc w:val="right"/>
            </w:pPr>
            <w:r>
              <w:rPr>
                <w:color w:val="000000"/>
                <w:sz w:val="24"/>
                <w:szCs w:val="24"/>
              </w:rPr>
              <w:t>4,254,142</w:t>
            </w:r>
          </w:p>
        </w:tc>
        <w:tc>
          <w:tcPr>
            <w:vAlign w:val="center"/>
          </w:tcPr>
          <w:p>
            <w:pPr>
              <w:jc w:val="right"/>
            </w:pPr>
            <w:r>
              <w:rPr>
                <w:color w:val="000000"/>
                <w:sz w:val="24"/>
                <w:szCs w:val="24"/>
              </w:rPr>
              <w:t>109,586,697.92</w:t>
            </w:r>
          </w:p>
        </w:tc>
        <w:tc>
          <w:tcPr>
            <w:vAlign w:val="center"/>
          </w:tcPr>
          <w:p>
            <w:pPr>
              <w:jc w:val="right"/>
            </w:pPr>
            <w:r>
              <w:rPr>
                <w:color w:val="000000"/>
                <w:sz w:val="24"/>
                <w:szCs w:val="24"/>
              </w:rPr>
              <w:t>2.30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002008</w:t>
            </w:r>
          </w:p>
        </w:tc>
        <w:tc>
          <w:tcPr>
            <w:vAlign w:val="center"/>
          </w:tcPr>
          <w:p>
            <w:pPr>
              <w:jc w:val="center"/>
            </w:pPr>
            <w:r>
              <w:rPr>
                <w:color w:val="000000"/>
                <w:sz w:val="24"/>
                <w:szCs w:val="24"/>
              </w:rPr>
              <w:t>大族激光</w:t>
            </w:r>
          </w:p>
        </w:tc>
        <w:tc>
          <w:tcPr>
            <w:vAlign w:val="center"/>
          </w:tcPr>
          <w:p>
            <w:pPr>
              <w:jc w:val="right"/>
            </w:pPr>
            <w:r>
              <w:rPr>
                <w:color w:val="000000"/>
                <w:sz w:val="24"/>
                <w:szCs w:val="24"/>
              </w:rPr>
              <w:t>2,616,722</w:t>
            </w:r>
          </w:p>
        </w:tc>
        <w:tc>
          <w:tcPr>
            <w:vAlign w:val="center"/>
          </w:tcPr>
          <w:p>
            <w:pPr>
              <w:jc w:val="right"/>
            </w:pPr>
            <w:r>
              <w:rPr>
                <w:color w:val="000000"/>
                <w:sz w:val="24"/>
                <w:szCs w:val="24"/>
              </w:rPr>
              <w:t>104,668,880.00</w:t>
            </w:r>
          </w:p>
        </w:tc>
        <w:tc>
          <w:tcPr>
            <w:vAlign w:val="center"/>
          </w:tcPr>
          <w:p>
            <w:pPr>
              <w:jc w:val="right"/>
            </w:pPr>
            <w:r>
              <w:rPr>
                <w:color w:val="000000"/>
                <w:sz w:val="24"/>
                <w:szCs w:val="24"/>
              </w:rPr>
              <w:t>2.20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318,900.00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318,900.00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128088</w:t>
            </w:r>
          </w:p>
        </w:tc>
        <w:tc>
          <w:tcPr>
            <w:vAlign w:val="center"/>
          </w:tcPr>
          <w:p>
            <w:pPr>
              <w:jc w:val="center"/>
            </w:pPr>
            <w:r>
              <w:rPr>
                <w:color w:val="000000"/>
                <w:sz w:val="24"/>
                <w:szCs w:val="24"/>
              </w:rPr>
              <w:t>深南转债</w:t>
            </w:r>
          </w:p>
        </w:tc>
        <w:tc>
          <w:tcPr>
            <w:vAlign w:val="center"/>
          </w:tcPr>
          <w:p>
            <w:pPr>
              <w:jc w:val="right"/>
            </w:pPr>
            <w:r>
              <w:rPr>
                <w:color w:val="000000"/>
                <w:sz w:val="24"/>
                <w:szCs w:val="24"/>
              </w:rPr>
              <w:t>3,189</w:t>
            </w:r>
          </w:p>
        </w:tc>
        <w:tc>
          <w:tcPr>
            <w:vAlign w:val="center"/>
          </w:tcPr>
          <w:p>
            <w:pPr>
              <w:jc w:val="right"/>
            </w:pPr>
            <w:r>
              <w:rPr>
                <w:color w:val="000000"/>
                <w:sz w:val="24"/>
                <w:szCs w:val="24"/>
              </w:rPr>
              <w:t>318,900.00</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1,263,458.31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168,935.07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215,789,248.87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217,221,642.25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1,778,827,756.26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1,494,840,957.86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863,728,294.53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2,409,940,419.59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