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交银施罗德新成长混合型证券投资基金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基金托管人招商银行股份有限公司根据本基金合同规定，于2020年1月20日复核了本报告中的财务指标、净值表现和投资组合报告等内容，保证复核内容不存在虚假记载、误导性陈述或者重大遗漏。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2014年5月9日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2,512,440,995.91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xml:space="preserve">深入挖掘经济转型背景下的投资机会，自下而上精选个股，力争实现基金资产的长期稳定增值。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75%×富时中国A600成长指数+25%×中证综合债券指数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219,853,845.19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660,229,150.10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0.3406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6,809,373,571.07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14.54%</w:t>
            </w:r>
          </w:p>
        </w:tc>
        <w:tc>
          <w:tcPr>
            <w:vAlign w:val="center"/>
          </w:tcPr>
          <w:p>
            <w:pPr>
              <w:jc w:val="center"/>
            </w:pPr>
            <w:r>
              <w:rPr>
                <w:color w:val="000000"/>
                <w:sz w:val="24"/>
                <w:szCs w:val="24"/>
              </w:rPr>
              <w:t>0.75%</w:t>
            </w:r>
          </w:p>
        </w:tc>
        <w:tc>
          <w:tcPr>
            <w:vAlign w:val="center"/>
          </w:tcPr>
          <w:p>
            <w:pPr>
              <w:jc w:val="center"/>
            </w:pPr>
            <w:r>
              <w:rPr>
                <w:color w:val="000000"/>
                <w:sz w:val="24"/>
                <w:szCs w:val="24"/>
              </w:rPr>
              <w:t>5.18%</w:t>
            </w:r>
          </w:p>
        </w:tc>
        <w:tc>
          <w:tcPr>
            <w:vAlign w:val="center"/>
          </w:tcPr>
          <w:p>
            <w:pPr>
              <w:jc w:val="center"/>
            </w:pPr>
            <w:r>
              <w:rPr>
                <w:color w:val="000000"/>
                <w:sz w:val="24"/>
                <w:szCs w:val="24"/>
              </w:rPr>
              <w:t>0.58%</w:t>
            </w:r>
          </w:p>
        </w:tc>
        <w:tc>
          <w:tcPr>
            <w:vAlign w:val="center"/>
          </w:tcPr>
          <w:p>
            <w:pPr>
              <w:jc w:val="center"/>
            </w:pPr>
            <w:r>
              <w:rPr>
                <w:color w:val="000000"/>
                <w:sz w:val="24"/>
                <w:szCs w:val="24"/>
              </w:rPr>
              <w:t>9.36%</w:t>
            </w:r>
          </w:p>
        </w:tc>
        <w:tc>
          <w:tcPr>
            <w:vAlign w:val="center"/>
          </w:tcPr>
          <w:p>
            <w:pPr>
              <w:jc w:val="center"/>
            </w:pPr>
            <w:r>
              <w:rPr>
                <w:color w:val="000000"/>
                <w:sz w:val="24"/>
                <w:szCs w:val="24"/>
              </w:rPr>
              <w:t>0.17%</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富时中国A600成长指数+25%×中信标普全债指数”变更为“75%×富时中国A600成长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交银施罗德新成长混合型证券投资基金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2014年5月9日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交银精选混合、交银新成长混合、交银瑞丰混合的基金经理，公司权益投资副总监</w:t>
            </w:r>
          </w:p>
        </w:tc>
        <w:tc>
          <w:tcPr>
            <w:vAlign w:val="center"/>
          </w:tcPr>
          <w:p>
            <w:pPr>
              <w:jc w:val="center"/>
            </w:pPr>
            <w:r>
              <w:rPr>
                <w:color w:val="000000"/>
                <w:sz w:val="24"/>
                <w:szCs w:val="24"/>
              </w:rPr>
              <w:t>2014-10-22</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2019年四季度国内经济增速有所企稳，通胀分化，受猪肉价格同比大幅走高影响，CPI继续攀升并过4%，PPI在三季度变负后于四季度继续走低到-1%以下。四季度政策层面延续稳健略宽松货币政策，积极引导企业融资成本下行，同时强调房炒不住，鼓励科技创新。四季度A股市场行情扩散和分化并存，其中，以半导体为首的电子行业延续强势涨幅居前，新能源汽车板块异军突起，而以食品饮料和医药为首的大消费板块在四季度涨幅靠后。传统行业中景气高位的建材工程机械等龙头股价不断创历史新高，低估值板块如大金融行业估值略有修复。 </w:t>
      </w:r>
    </w:p>
    <w:p>
      <w:pPr>
        <w:spacing w:before="29" w:line="288" w:lineRule="auto"/>
        <w:ind w:firstLine="480" w:firstLineChars="200"/>
        <w:rPr>
          <w:color w:val="000000"/>
          <w:sz w:val="24"/>
          <w:szCs w:val="24"/>
        </w:rPr>
      </w:pPr>
      <w:r>
        <w:rPr>
          <w:color w:val="000000"/>
          <w:sz w:val="24"/>
          <w:szCs w:val="24"/>
        </w:rPr>
        <w:t>本基金四季度大部分时间保持中性略高仓位，坚持自下而上选择相对安全并有望获取绝对收益标的，个股集中度略有上升。行业层面，降低医药、教育以及检测等防御性行业配置比例，提高大金融、计算机和新能源汽车行业配置比例。从四季度整体表现来看，本基金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维持谨慎乐观态度。考虑到目前的经济状况、利率水平以及政策取向，我们仍旧认为大类资产配置中权益最优，从估值盈利匹配度来看，有不少传统行业优质公司股票仍旧值得投资和持有。另一方面，我们将高度重视通胀风险，谨防CPI回落幅度和速度低于预期带来市场波动。其次，长期逻辑通畅的新兴产业（如医疗服务、创新药、半导体、新能源汽车）经历2019年大幅上涨后估值处于历史高位，未来将进入景气和业绩验证阶段，从历史来看，大概率相当一批公司业绩会低于预期。再次，核心资产的概念已深入人心，相关核心资产股票的价格已不再便宜，那么简单抓龙头买入持有可能已经不再那么有效，至少要有预期未来收益率可能会下降。本基金后续继续关注一二线房地产龙头、医疗服务器械、计算机人工智能、电子科技硬件以及新能源汽车产业链上优质标的，坚守能力圈和安全边际，逆向投资，做中长期布局，努力为基金持有人带来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5,743,244,695.70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5,743,244,695.70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290,440,000.00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290,440,000.00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485,001,567.50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6.97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367,924,545.37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71,015,858.29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6,957,626,666.86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1,676,310,565.36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24.62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802,994,193.99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1,323,821,821.16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1,217,541,823.86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85,526,118.45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135,597,700.32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487,577,974.52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13,867,920.00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5,743,244,695.70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84.34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33,620,076</w:t>
            </w:r>
          </w:p>
        </w:tc>
        <w:tc>
          <w:tcPr>
            <w:vAlign w:val="center"/>
          </w:tcPr>
          <w:p>
            <w:pPr>
              <w:jc w:val="right"/>
            </w:pPr>
            <w:r>
              <w:rPr>
                <w:color w:val="000000"/>
                <w:sz w:val="24"/>
                <w:szCs w:val="24"/>
              </w:rPr>
              <w:t>543,972,829.68</w:t>
            </w:r>
          </w:p>
        </w:tc>
        <w:tc>
          <w:tcPr>
            <w:vAlign w:val="center"/>
          </w:tcPr>
          <w:p>
            <w:pPr>
              <w:jc w:val="right"/>
            </w:pPr>
            <w:r>
              <w:rPr>
                <w:color w:val="000000"/>
                <w:sz w:val="24"/>
                <w:szCs w:val="24"/>
              </w:rPr>
              <w:t>7.99</w:t>
            </w:r>
          </w:p>
        </w:tc>
      </w:tr>
      <w:tr>
        <w:tc>
          <w:tcPr>
            <w:vAlign w:val="center"/>
          </w:tcPr>
          <w:p>
            <w:pPr>
              <w:jc w:val="center"/>
            </w:pPr>
            <w:r>
              <w:rPr>
                <w:color w:val="000000"/>
                <w:sz w:val="24"/>
                <w:szCs w:val="24"/>
              </w:rPr>
              <w:t>2</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19,143,096</w:t>
            </w:r>
          </w:p>
        </w:tc>
        <w:tc>
          <w:tcPr>
            <w:vAlign w:val="center"/>
          </w:tcPr>
          <w:p>
            <w:pPr>
              <w:jc w:val="right"/>
            </w:pPr>
            <w:r>
              <w:rPr>
                <w:color w:val="000000"/>
                <w:sz w:val="24"/>
                <w:szCs w:val="24"/>
              </w:rPr>
              <w:t>503,654,855.76</w:t>
            </w:r>
          </w:p>
        </w:tc>
        <w:tc>
          <w:tcPr>
            <w:vAlign w:val="center"/>
          </w:tcPr>
          <w:p>
            <w:pPr>
              <w:jc w:val="right"/>
            </w:pPr>
            <w:r>
              <w:rPr>
                <w:color w:val="000000"/>
                <w:sz w:val="24"/>
                <w:szCs w:val="24"/>
              </w:rPr>
              <w:t>7.40</w:t>
            </w:r>
          </w:p>
        </w:tc>
      </w:tr>
      <w:tr>
        <w:tc>
          <w:tcPr>
            <w:vAlign w:val="center"/>
          </w:tcPr>
          <w:p>
            <w:pPr>
              <w:jc w:val="center"/>
            </w:pPr>
            <w:r>
              <w:rPr>
                <w:color w:val="000000"/>
                <w:sz w:val="24"/>
                <w:szCs w:val="24"/>
              </w:rPr>
              <w:t>3</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15,394,501</w:t>
            </w:r>
          </w:p>
        </w:tc>
        <w:tc>
          <w:tcPr>
            <w:vAlign w:val="center"/>
          </w:tcPr>
          <w:p>
            <w:pPr>
              <w:jc w:val="right"/>
            </w:pPr>
            <w:r>
              <w:rPr>
                <w:color w:val="000000"/>
                <w:sz w:val="24"/>
                <w:szCs w:val="24"/>
              </w:rPr>
              <w:t>495,395,042.18</w:t>
            </w:r>
          </w:p>
        </w:tc>
        <w:tc>
          <w:tcPr>
            <w:vAlign w:val="center"/>
          </w:tcPr>
          <w:p>
            <w:pPr>
              <w:jc w:val="right"/>
            </w:pPr>
            <w:r>
              <w:rPr>
                <w:color w:val="000000"/>
                <w:sz w:val="24"/>
                <w:szCs w:val="24"/>
              </w:rPr>
              <w:t>7.28</w:t>
            </w:r>
          </w:p>
        </w:tc>
      </w:tr>
      <w:tr>
        <w:tc>
          <w:tcPr>
            <w:vAlign w:val="center"/>
          </w:tcPr>
          <w:p>
            <w:pPr>
              <w:jc w:val="center"/>
            </w:pPr>
            <w:r>
              <w:rPr>
                <w:color w:val="000000"/>
                <w:sz w:val="24"/>
                <w:szCs w:val="24"/>
              </w:rPr>
              <w:t>4</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12,798,807</w:t>
            </w:r>
          </w:p>
        </w:tc>
        <w:tc>
          <w:tcPr>
            <w:vAlign w:val="center"/>
          </w:tcPr>
          <w:p>
            <w:pPr>
              <w:jc w:val="right"/>
            </w:pPr>
            <w:r>
              <w:rPr>
                <w:color w:val="000000"/>
                <w:sz w:val="24"/>
                <w:szCs w:val="24"/>
              </w:rPr>
              <w:t>484,306,856.88</w:t>
            </w:r>
          </w:p>
        </w:tc>
        <w:tc>
          <w:tcPr>
            <w:vAlign w:val="center"/>
          </w:tcPr>
          <w:p>
            <w:pPr>
              <w:jc w:val="right"/>
            </w:pPr>
            <w:r>
              <w:rPr>
                <w:color w:val="000000"/>
                <w:sz w:val="24"/>
                <w:szCs w:val="24"/>
              </w:rPr>
              <w:t>7.11</w:t>
            </w:r>
          </w:p>
        </w:tc>
      </w:tr>
      <w:tr>
        <w:tc>
          <w:tcPr>
            <w:vAlign w:val="center"/>
          </w:tcPr>
          <w:p>
            <w:pPr>
              <w:jc w:val="center"/>
            </w:pPr>
            <w:r>
              <w:rPr>
                <w:color w:val="000000"/>
                <w:sz w:val="24"/>
                <w:szCs w:val="24"/>
              </w:rPr>
              <w:t>5</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22,925,014</w:t>
            </w:r>
          </w:p>
        </w:tc>
        <w:tc>
          <w:tcPr>
            <w:vAlign w:val="center"/>
          </w:tcPr>
          <w:p>
            <w:pPr>
              <w:jc w:val="right"/>
            </w:pPr>
            <w:r>
              <w:rPr>
                <w:color w:val="000000"/>
                <w:sz w:val="24"/>
                <w:szCs w:val="24"/>
              </w:rPr>
              <w:t>453,915,277.20</w:t>
            </w:r>
          </w:p>
        </w:tc>
        <w:tc>
          <w:tcPr>
            <w:vAlign w:val="center"/>
          </w:tcPr>
          <w:p>
            <w:pPr>
              <w:jc w:val="right"/>
            </w:pPr>
            <w:r>
              <w:rPr>
                <w:color w:val="000000"/>
                <w:sz w:val="24"/>
                <w:szCs w:val="24"/>
              </w:rPr>
              <w:t>6.67</w:t>
            </w:r>
          </w:p>
        </w:tc>
      </w:tr>
      <w:tr>
        <w:tc>
          <w:tcPr>
            <w:vAlign w:val="center"/>
          </w:tcPr>
          <w:p>
            <w:pPr>
              <w:jc w:val="center"/>
            </w:pPr>
            <w:r>
              <w:rPr>
                <w:color w:val="000000"/>
                <w:sz w:val="24"/>
                <w:szCs w:val="24"/>
              </w:rPr>
              <w:t>6</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11,979,920</w:t>
            </w:r>
          </w:p>
        </w:tc>
        <w:tc>
          <w:tcPr>
            <w:vAlign w:val="center"/>
          </w:tcPr>
          <w:p>
            <w:pPr>
              <w:jc w:val="right"/>
            </w:pPr>
            <w:r>
              <w:rPr>
                <w:color w:val="000000"/>
                <w:sz w:val="24"/>
                <w:szCs w:val="24"/>
              </w:rPr>
              <w:t>413,067,641.60</w:t>
            </w:r>
          </w:p>
        </w:tc>
        <w:tc>
          <w:tcPr>
            <w:vAlign w:val="center"/>
          </w:tcPr>
          <w:p>
            <w:pPr>
              <w:jc w:val="right"/>
            </w:pPr>
            <w:r>
              <w:rPr>
                <w:color w:val="000000"/>
                <w:sz w:val="24"/>
                <w:szCs w:val="24"/>
              </w:rPr>
              <w:t>6.07</w:t>
            </w:r>
          </w:p>
        </w:tc>
      </w:tr>
      <w:tr>
        <w:tc>
          <w:tcPr>
            <w:vAlign w:val="center"/>
          </w:tcPr>
          <w:p>
            <w:pPr>
              <w:jc w:val="center"/>
            </w:pPr>
            <w:r>
              <w:rPr>
                <w:color w:val="000000"/>
                <w:sz w:val="24"/>
                <w:szCs w:val="24"/>
              </w:rPr>
              <w:t>7</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23,891,606</w:t>
            </w:r>
          </w:p>
        </w:tc>
        <w:tc>
          <w:tcPr>
            <w:vAlign w:val="center"/>
          </w:tcPr>
          <w:p>
            <w:pPr>
              <w:jc w:val="right"/>
            </w:pPr>
            <w:r>
              <w:rPr>
                <w:color w:val="000000"/>
                <w:sz w:val="24"/>
                <w:szCs w:val="24"/>
              </w:rPr>
              <w:t>355,746,013.34</w:t>
            </w:r>
          </w:p>
        </w:tc>
        <w:tc>
          <w:tcPr>
            <w:vAlign w:val="center"/>
          </w:tcPr>
          <w:p>
            <w:pPr>
              <w:jc w:val="right"/>
            </w:pPr>
            <w:r>
              <w:rPr>
                <w:color w:val="000000"/>
                <w:sz w:val="24"/>
                <w:szCs w:val="24"/>
              </w:rPr>
              <w:t>5.22</w:t>
            </w:r>
          </w:p>
        </w:tc>
      </w:tr>
      <w:tr>
        <w:tc>
          <w:tcPr>
            <w:vAlign w:val="center"/>
          </w:tcPr>
          <w:p>
            <w:pPr>
              <w:jc w:val="center"/>
            </w:pPr>
            <w:r>
              <w:rPr>
                <w:color w:val="000000"/>
                <w:sz w:val="24"/>
                <w:szCs w:val="24"/>
              </w:rPr>
              <w:t>8</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5,756,922</w:t>
            </w:r>
          </w:p>
        </w:tc>
        <w:tc>
          <w:tcPr>
            <w:vAlign w:val="center"/>
          </w:tcPr>
          <w:p>
            <w:pPr>
              <w:jc w:val="right"/>
            </w:pPr>
            <w:r>
              <w:rPr>
                <w:color w:val="000000"/>
                <w:sz w:val="24"/>
                <w:szCs w:val="24"/>
              </w:rPr>
              <w:t>210,127,653.00</w:t>
            </w:r>
          </w:p>
        </w:tc>
        <w:tc>
          <w:tcPr>
            <w:vAlign w:val="center"/>
          </w:tcPr>
          <w:p>
            <w:pPr>
              <w:jc w:val="right"/>
            </w:pPr>
            <w:r>
              <w:rPr>
                <w:color w:val="000000"/>
                <w:sz w:val="24"/>
                <w:szCs w:val="24"/>
              </w:rPr>
              <w:t>3.09</w:t>
            </w:r>
          </w:p>
        </w:tc>
      </w:tr>
      <w:tr>
        <w:tc>
          <w:tcPr>
            <w:vAlign w:val="center"/>
          </w:tcPr>
          <w:p>
            <w:pPr>
              <w:jc w:val="center"/>
            </w:pPr>
            <w:r>
              <w:rPr>
                <w:color w:val="000000"/>
                <w:sz w:val="24"/>
                <w:szCs w:val="24"/>
              </w:rPr>
              <w:t>9</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7,519,181</w:t>
            </w:r>
          </w:p>
        </w:tc>
        <w:tc>
          <w:tcPr>
            <w:vAlign w:val="center"/>
          </w:tcPr>
          <w:p>
            <w:pPr>
              <w:jc w:val="right"/>
            </w:pPr>
            <w:r>
              <w:rPr>
                <w:color w:val="000000"/>
                <w:sz w:val="24"/>
                <w:szCs w:val="24"/>
              </w:rPr>
              <w:t>207,830,162.84</w:t>
            </w:r>
          </w:p>
        </w:tc>
        <w:tc>
          <w:tcPr>
            <w:vAlign w:val="center"/>
          </w:tcPr>
          <w:p>
            <w:pPr>
              <w:jc w:val="right"/>
            </w:pPr>
            <w:r>
              <w:rPr>
                <w:color w:val="000000"/>
                <w:sz w:val="24"/>
                <w:szCs w:val="24"/>
              </w:rPr>
              <w:t>3.05</w:t>
            </w:r>
          </w:p>
        </w:tc>
      </w:tr>
      <w:tr>
        <w:tc>
          <w:tcPr>
            <w:vAlign w:val="center"/>
          </w:tcPr>
          <w:p>
            <w:pPr>
              <w:jc w:val="center"/>
            </w:pPr>
            <w:r>
              <w:rPr>
                <w:color w:val="000000"/>
                <w:sz w:val="24"/>
                <w:szCs w:val="24"/>
              </w:rPr>
              <w:t>10</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33,488,840</w:t>
            </w:r>
          </w:p>
        </w:tc>
        <w:tc>
          <w:tcPr>
            <w:vAlign w:val="center"/>
          </w:tcPr>
          <w:p>
            <w:pPr>
              <w:jc w:val="right"/>
            </w:pPr>
            <w:r>
              <w:rPr>
                <w:color w:val="000000"/>
                <w:sz w:val="24"/>
                <w:szCs w:val="24"/>
              </w:rPr>
              <w:t>196,914,379.20</w:t>
            </w:r>
          </w:p>
        </w:tc>
        <w:tc>
          <w:tcPr>
            <w:vAlign w:val="center"/>
          </w:tcPr>
          <w:p>
            <w:pPr>
              <w:jc w:val="right"/>
            </w:pPr>
            <w:r>
              <w:rPr>
                <w:color w:val="000000"/>
                <w:sz w:val="24"/>
                <w:szCs w:val="24"/>
              </w:rPr>
              <w:t>2.89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290,440,000.00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290,440,000.00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290,440,000.00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1,700,000</w:t>
            </w:r>
          </w:p>
        </w:tc>
        <w:tc>
          <w:tcPr>
            <w:vAlign w:val="center"/>
          </w:tcPr>
          <w:p>
            <w:pPr>
              <w:jc w:val="right"/>
            </w:pPr>
            <w:r>
              <w:rPr>
                <w:color w:val="000000"/>
                <w:sz w:val="24"/>
                <w:szCs w:val="24"/>
              </w:rPr>
              <w:t>170,272,000.00</w:t>
            </w:r>
          </w:p>
        </w:tc>
        <w:tc>
          <w:tcPr>
            <w:vAlign w:val="center"/>
          </w:tcPr>
          <w:p>
            <w:pPr>
              <w:jc w:val="right"/>
            </w:pPr>
            <w:r>
              <w:rPr>
                <w:color w:val="000000"/>
                <w:sz w:val="24"/>
                <w:szCs w:val="24"/>
              </w:rPr>
              <w:t>2.50</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1,200,000</w:t>
            </w:r>
          </w:p>
        </w:tc>
        <w:tc>
          <w:tcPr>
            <w:vAlign w:val="center"/>
          </w:tcPr>
          <w:p>
            <w:pPr>
              <w:jc w:val="right"/>
            </w:pPr>
            <w:r>
              <w:rPr>
                <w:color w:val="000000"/>
                <w:sz w:val="24"/>
                <w:szCs w:val="24"/>
              </w:rPr>
              <w:t>120,168,000.00</w:t>
            </w:r>
          </w:p>
        </w:tc>
        <w:tc>
          <w:tcPr>
            <w:vAlign w:val="center"/>
          </w:tcPr>
          <w:p>
            <w:pPr>
              <w:jc w:val="right"/>
            </w:pPr>
            <w:r>
              <w:rPr>
                <w:color w:val="000000"/>
                <w:sz w:val="24"/>
                <w:szCs w:val="24"/>
              </w:rPr>
              <w:t>1.76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1,640,970.94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24,060,981.58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4,182,865.56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41,131,040.21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71,015,858.29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1,431,924,223.19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1,505,148,769.42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424,631,996.70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2,512,440,995.91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1、中国证监会准予交银施罗德新成长股票型证券投资基金募集注册的文件；</w:t>
      </w:r>
    </w:p>
    <w:p>
      <w:pPr>
        <w:spacing w:before="29" w:line="288" w:lineRule="auto"/>
        <w:ind w:firstLine="480" w:firstLineChars="200"/>
        <w:rPr>
          <w:color w:val="000000"/>
          <w:sz w:val="24"/>
          <w:szCs w:val="24"/>
        </w:rPr>
      </w:pPr>
      <w:r>
        <w:rPr>
          <w:color w:val="000000"/>
          <w:sz w:val="24"/>
          <w:szCs w:val="24"/>
        </w:rPr>
        <w:t xml:space="preserve">2、《交银施罗德新成长混合型证券投资基金基金合同》；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3、《交银施罗德新成长混合型证券投资基金招募说明书》； </w:t>
      </w:r>
    </w:p>
    <w:p>
      <w:pPr>
        <w:spacing w:before="29" w:line="288" w:lineRule="auto"/>
        <w:ind w:firstLine="480" w:firstLineChars="200"/>
        <w:rPr>
          <w:color w:val="000000"/>
          <w:sz w:val="24"/>
          <w:szCs w:val="24"/>
        </w:rPr>
      </w:pPr>
      <w:r>
        <w:rPr>
          <w:color w:val="000000"/>
          <w:sz w:val="24"/>
          <w:szCs w:val="24"/>
        </w:rPr>
        <w:t>4、《交银施罗德新成长混合型证券投资基金托管协议》；</w:t>
      </w:r>
    </w:p>
    <w:p>
      <w:pPr>
        <w:spacing w:before="29" w:line="288" w:lineRule="auto"/>
        <w:ind w:firstLine="480" w:firstLineChars="200"/>
        <w:rPr>
          <w:color w:val="000000"/>
          <w:sz w:val="24"/>
          <w:szCs w:val="24"/>
        </w:rPr>
      </w:pPr>
      <w:r>
        <w:rPr>
          <w:color w:val="000000"/>
          <w:sz w:val="24"/>
          <w:szCs w:val="24"/>
        </w:rPr>
        <w:t xml:space="preserve">5、关于申请募集注册交银施罗德新成长股票型证券投资基金的法律意见书； </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8、报告期内交银施罗德新成长混合型证券投资基金在指定报刊上各项公告的原稿。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交银施罗德新成长混合型证券投资基金2019年第4季度报告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