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交银施罗德丰盈收益债券型证券投资基金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2019</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2019</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二〇二〇年一月二十一日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8B3D13" w:rsidRDefault="00834CA8">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8B3D13" w:rsidRDefault="00834CA8">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2020</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8B3D13" w:rsidRDefault="00834CA8">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8B3D13" w:rsidRDefault="00834CA8">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8B3D13" w:rsidRDefault="00834CA8">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2019</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交银丰盈收益债券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519740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bookmarkStart w:id="0" w:name="_GoBack"/>
            <w:bookmarkEnd w:id="0"/>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契约型，本基金在基金合同生效之日起三年（含三年）的期间内封闭式运作（按照基金合同的约定提前转换基金运作方式的除外），封闭期结束后转为开放式运作</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2014</w:t>
            </w:r>
            <w:r w:rsidRPr="007F52FA">
              <w:rPr>
                <w:color w:val="000000"/>
                <w:kern w:val="0"/>
                <w:sz w:val="24"/>
              </w:rPr>
              <w:t>年</w:t>
            </w:r>
            <w:r w:rsidRPr="007F52FA">
              <w:rPr>
                <w:color w:val="000000"/>
                <w:kern w:val="0"/>
                <w:sz w:val="24"/>
              </w:rPr>
              <w:t>8</w:t>
            </w:r>
            <w:r w:rsidRPr="007F52FA">
              <w:rPr>
                <w:color w:val="000000"/>
                <w:kern w:val="0"/>
                <w:sz w:val="24"/>
              </w:rPr>
              <w:t>月</w:t>
            </w:r>
            <w:r w:rsidRPr="007F52FA">
              <w:rPr>
                <w:color w:val="000000"/>
                <w:kern w:val="0"/>
                <w:sz w:val="24"/>
              </w:rPr>
              <w:t>11</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35,308,976.66</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追求在有效控制风险的前提下，力争为基金资产获得稳健的投资收益和超额回报。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B3D13" w:rsidRDefault="00834CA8">
            <w:pPr>
              <w:adjustRightInd w:val="0"/>
              <w:spacing w:before="29" w:line="288" w:lineRule="auto"/>
              <w:ind w:left="17"/>
              <w:jc w:val="left"/>
              <w:rPr>
                <w:color w:val="000000"/>
                <w:sz w:val="24"/>
              </w:rPr>
            </w:pPr>
            <w:r>
              <w:rPr>
                <w:color w:val="000000"/>
                <w:kern w:val="0"/>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p w:rsidR="008B3D13" w:rsidRDefault="008B3D13">
            <w:pPr>
              <w:adjustRightInd w:val="0"/>
              <w:spacing w:before="29" w:line="288" w:lineRule="auto"/>
              <w:ind w:left="17"/>
              <w:jc w:val="left"/>
              <w:rPr>
                <w:color w:val="000000"/>
                <w:sz w:val="24"/>
              </w:rPr>
            </w:pP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开放期内投资策略：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B3D13" w:rsidRDefault="00834CA8">
            <w:pPr>
              <w:adjustRightInd w:val="0"/>
              <w:spacing w:before="29" w:line="288" w:lineRule="auto"/>
              <w:ind w:left="17"/>
              <w:jc w:val="left"/>
              <w:rPr>
                <w:color w:val="000000"/>
                <w:sz w:val="24"/>
              </w:rPr>
            </w:pPr>
            <w:r>
              <w:rPr>
                <w:color w:val="000000"/>
                <w:kern w:val="0"/>
                <w:sz w:val="24"/>
              </w:rPr>
              <w:t>封闭期内业绩比较基准：三年期银行定期存款税后收益率</w:t>
            </w: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开放期内业绩比较基准：中债综合全价指数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交银丰盈收益债券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交银丰盈收益债券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519740</w:t>
            </w:r>
          </w:p>
        </w:tc>
        <w:tc>
          <w:tcPr>
            <w:tcW w:w="3048" w:type="dxa"/>
            <w:vAlign w:val="center"/>
          </w:tcPr>
          <w:p w:rsidR="00C23B30" w:rsidRPr="000E4C40" w:rsidRDefault="00C23B30" w:rsidP="00A52A9E">
            <w:pPr>
              <w:spacing w:before="29" w:line="288" w:lineRule="auto"/>
              <w:jc w:val="left"/>
              <w:rPr>
                <w:sz w:val="24"/>
              </w:rPr>
            </w:pPr>
            <w:r w:rsidRPr="000E4C40">
              <w:rPr>
                <w:sz w:val="24"/>
              </w:rPr>
              <w:t>005025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29,200,922.21</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6,108,054.45</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8</w:t>
      </w:r>
      <w:r w:rsidRPr="007F52FA">
        <w:rPr>
          <w:rFonts w:eastAsiaTheme="minorEastAsia"/>
          <w:color w:val="000000"/>
          <w:sz w:val="24"/>
        </w:rPr>
        <w:t>月</w:t>
      </w:r>
      <w:r w:rsidRPr="007F52FA">
        <w:rPr>
          <w:rFonts w:eastAsiaTheme="minorEastAsia"/>
          <w:color w:val="000000"/>
          <w:sz w:val="24"/>
        </w:rPr>
        <w:t>14</w:t>
      </w:r>
      <w:r w:rsidRPr="007F52FA">
        <w:rPr>
          <w:rFonts w:eastAsiaTheme="minorEastAsia"/>
          <w:color w:val="000000"/>
          <w:sz w:val="24"/>
        </w:rPr>
        <w:t>日起转为开放式运作。</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(2019</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w:t>
            </w:r>
            <w:r w:rsidRPr="00414345">
              <w:rPr>
                <w:color w:val="000000"/>
                <w:sz w:val="24"/>
              </w:rPr>
              <w:t>-2019</w:t>
            </w:r>
            <w:r w:rsidRPr="00414345">
              <w:rPr>
                <w:color w:val="000000"/>
                <w:sz w:val="24"/>
              </w:rPr>
              <w:t>年</w:t>
            </w:r>
            <w:r w:rsidRPr="00414345">
              <w:rPr>
                <w:color w:val="000000"/>
                <w:sz w:val="24"/>
              </w:rPr>
              <w:t>12</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交银丰盈收益债券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交银丰盈收益债券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312,338.37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45,478.12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343,913.80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86,995.06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0.0097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0.0183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lastRenderedPageBreak/>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31,887,845.21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6,924,984.99</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1.092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1.134</w:t>
            </w:r>
          </w:p>
        </w:tc>
      </w:tr>
    </w:tbl>
    <w:p w:rsidR="008B3D13" w:rsidRDefault="00834CA8">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交银丰盈收益债券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8B3D13">
        <w:trPr>
          <w:jc w:val="center"/>
        </w:trPr>
        <w:tc>
          <w:tcPr>
            <w:tcW w:w="1266" w:type="dxa"/>
            <w:vAlign w:val="center"/>
          </w:tcPr>
          <w:p w:rsidR="008B3D13" w:rsidRDefault="00834CA8">
            <w:pPr>
              <w:jc w:val="left"/>
            </w:pPr>
            <w:r>
              <w:rPr>
                <w:color w:val="000000"/>
                <w:sz w:val="24"/>
              </w:rPr>
              <w:t>过去三个月</w:t>
            </w:r>
          </w:p>
        </w:tc>
        <w:tc>
          <w:tcPr>
            <w:tcW w:w="1267" w:type="dxa"/>
            <w:vAlign w:val="center"/>
          </w:tcPr>
          <w:p w:rsidR="008B3D13" w:rsidRDefault="00834CA8">
            <w:pPr>
              <w:jc w:val="center"/>
            </w:pPr>
            <w:r>
              <w:rPr>
                <w:color w:val="000000"/>
                <w:sz w:val="24"/>
              </w:rPr>
              <w:t>1.02%</w:t>
            </w:r>
          </w:p>
        </w:tc>
        <w:tc>
          <w:tcPr>
            <w:tcW w:w="1267" w:type="dxa"/>
            <w:vAlign w:val="center"/>
          </w:tcPr>
          <w:p w:rsidR="008B3D13" w:rsidRDefault="00834CA8">
            <w:pPr>
              <w:jc w:val="center"/>
            </w:pPr>
            <w:r>
              <w:rPr>
                <w:color w:val="000000"/>
                <w:sz w:val="24"/>
              </w:rPr>
              <w:t>0.06%</w:t>
            </w:r>
          </w:p>
        </w:tc>
        <w:tc>
          <w:tcPr>
            <w:tcW w:w="1267" w:type="dxa"/>
            <w:vAlign w:val="center"/>
          </w:tcPr>
          <w:p w:rsidR="008B3D13" w:rsidRDefault="00834CA8">
            <w:pPr>
              <w:jc w:val="center"/>
            </w:pPr>
            <w:r>
              <w:rPr>
                <w:color w:val="000000"/>
                <w:sz w:val="24"/>
              </w:rPr>
              <w:t>0.62%</w:t>
            </w:r>
          </w:p>
        </w:tc>
        <w:tc>
          <w:tcPr>
            <w:tcW w:w="1267" w:type="dxa"/>
            <w:vAlign w:val="center"/>
          </w:tcPr>
          <w:p w:rsidR="008B3D13" w:rsidRDefault="00834CA8">
            <w:pPr>
              <w:jc w:val="center"/>
            </w:pPr>
            <w:r>
              <w:rPr>
                <w:color w:val="000000"/>
                <w:sz w:val="24"/>
              </w:rPr>
              <w:t>0.04%</w:t>
            </w:r>
          </w:p>
        </w:tc>
        <w:tc>
          <w:tcPr>
            <w:tcW w:w="1267" w:type="dxa"/>
            <w:vAlign w:val="center"/>
          </w:tcPr>
          <w:p w:rsidR="008B3D13" w:rsidRDefault="00834CA8">
            <w:pPr>
              <w:jc w:val="center"/>
            </w:pPr>
            <w:r>
              <w:rPr>
                <w:color w:val="000000"/>
                <w:sz w:val="24"/>
              </w:rPr>
              <w:t>0.40%</w:t>
            </w:r>
          </w:p>
        </w:tc>
        <w:tc>
          <w:tcPr>
            <w:tcW w:w="1267" w:type="dxa"/>
            <w:vAlign w:val="center"/>
          </w:tcPr>
          <w:p w:rsidR="008B3D13" w:rsidRDefault="00834CA8">
            <w:pPr>
              <w:jc w:val="center"/>
            </w:pPr>
            <w:r>
              <w:rPr>
                <w:color w:val="000000"/>
                <w:sz w:val="24"/>
              </w:rPr>
              <w:t>0.02%</w:t>
            </w:r>
          </w:p>
        </w:tc>
      </w:tr>
    </w:tbl>
    <w:p w:rsidR="009238DB" w:rsidRPr="007F52FA" w:rsidRDefault="004425E8"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2017</w:t>
      </w:r>
      <w:r w:rsidRPr="007F52FA">
        <w:rPr>
          <w:color w:val="000000"/>
          <w:sz w:val="24"/>
        </w:rPr>
        <w:t>年</w:t>
      </w:r>
      <w:r w:rsidRPr="007F52FA">
        <w:rPr>
          <w:color w:val="000000"/>
          <w:sz w:val="24"/>
        </w:rPr>
        <w:t>8</w:t>
      </w:r>
      <w:r w:rsidRPr="007F52FA">
        <w:rPr>
          <w:color w:val="000000"/>
          <w:sz w:val="24"/>
        </w:rPr>
        <w:t>月</w:t>
      </w:r>
      <w:r w:rsidRPr="007F52FA">
        <w:rPr>
          <w:color w:val="000000"/>
          <w:sz w:val="24"/>
        </w:rPr>
        <w:t>14</w:t>
      </w:r>
      <w:r w:rsidRPr="007F52FA">
        <w:rPr>
          <w:color w:val="000000"/>
          <w:sz w:val="24"/>
        </w:rPr>
        <w:t>日起转为开放式运作，本基金的业绩比较基准由</w:t>
      </w:r>
      <w:r w:rsidRPr="007F52FA">
        <w:rPr>
          <w:color w:val="000000"/>
          <w:sz w:val="24"/>
        </w:rPr>
        <w:t>“</w:t>
      </w:r>
      <w:r w:rsidRPr="007F52FA">
        <w:rPr>
          <w:color w:val="000000"/>
          <w:sz w:val="24"/>
        </w:rPr>
        <w:t>三年期银行定期存款税后收益率</w:t>
      </w:r>
      <w:r w:rsidRPr="007F52FA">
        <w:rPr>
          <w:color w:val="000000"/>
          <w:sz w:val="24"/>
        </w:rPr>
        <w:t>”</w:t>
      </w:r>
      <w:r w:rsidRPr="007F52FA">
        <w:rPr>
          <w:color w:val="000000"/>
          <w:sz w:val="24"/>
        </w:rPr>
        <w:t>变更为</w:t>
      </w:r>
      <w:r w:rsidRPr="007F52FA">
        <w:rPr>
          <w:color w:val="000000"/>
          <w:sz w:val="24"/>
        </w:rPr>
        <w:t>“</w:t>
      </w:r>
      <w:r w:rsidRPr="007F52FA">
        <w:rPr>
          <w:color w:val="000000"/>
          <w:sz w:val="24"/>
        </w:rPr>
        <w:t>中债综合全价指数</w:t>
      </w:r>
      <w:r w:rsidRPr="007F52FA">
        <w:rPr>
          <w:color w:val="000000"/>
          <w:sz w:val="24"/>
        </w:rPr>
        <w:t>”</w:t>
      </w:r>
      <w:r w:rsidRPr="007F52FA">
        <w:rPr>
          <w:color w:val="000000"/>
          <w:sz w:val="24"/>
        </w:rPr>
        <w:t>，</w:t>
      </w:r>
      <w:r w:rsidRPr="007F52FA">
        <w:rPr>
          <w:color w:val="000000"/>
          <w:sz w:val="24"/>
        </w:rPr>
        <w:t>3.2.2</w:t>
      </w:r>
      <w:r w:rsidRPr="007F52FA">
        <w:rPr>
          <w:color w:val="000000"/>
          <w:sz w:val="24"/>
        </w:rPr>
        <w:t>同。</w:t>
      </w:r>
    </w:p>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交银丰盈收益债券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8B3D13">
        <w:trPr>
          <w:jc w:val="center"/>
        </w:trPr>
        <w:tc>
          <w:tcPr>
            <w:tcW w:w="1266" w:type="dxa"/>
            <w:vAlign w:val="center"/>
          </w:tcPr>
          <w:p w:rsidR="008B3D13" w:rsidRDefault="00834CA8">
            <w:pPr>
              <w:jc w:val="left"/>
            </w:pPr>
            <w:r>
              <w:rPr>
                <w:color w:val="000000"/>
                <w:sz w:val="24"/>
              </w:rPr>
              <w:t>过去三个月</w:t>
            </w:r>
          </w:p>
        </w:tc>
        <w:tc>
          <w:tcPr>
            <w:tcW w:w="1267" w:type="dxa"/>
            <w:vAlign w:val="center"/>
          </w:tcPr>
          <w:p w:rsidR="008B3D13" w:rsidRDefault="00834CA8">
            <w:pPr>
              <w:jc w:val="center"/>
            </w:pPr>
            <w:r>
              <w:rPr>
                <w:color w:val="000000"/>
                <w:sz w:val="24"/>
              </w:rPr>
              <w:t>0.98%</w:t>
            </w:r>
          </w:p>
        </w:tc>
        <w:tc>
          <w:tcPr>
            <w:tcW w:w="1267" w:type="dxa"/>
            <w:vAlign w:val="center"/>
          </w:tcPr>
          <w:p w:rsidR="008B3D13" w:rsidRDefault="00834CA8">
            <w:pPr>
              <w:jc w:val="center"/>
            </w:pPr>
            <w:r>
              <w:rPr>
                <w:color w:val="000000"/>
                <w:sz w:val="24"/>
              </w:rPr>
              <w:t>0.06%</w:t>
            </w:r>
          </w:p>
        </w:tc>
        <w:tc>
          <w:tcPr>
            <w:tcW w:w="1267" w:type="dxa"/>
            <w:vAlign w:val="center"/>
          </w:tcPr>
          <w:p w:rsidR="008B3D13" w:rsidRDefault="00834CA8">
            <w:pPr>
              <w:jc w:val="center"/>
            </w:pPr>
            <w:r>
              <w:rPr>
                <w:color w:val="000000"/>
                <w:sz w:val="24"/>
              </w:rPr>
              <w:t>0.62%</w:t>
            </w:r>
          </w:p>
        </w:tc>
        <w:tc>
          <w:tcPr>
            <w:tcW w:w="1267" w:type="dxa"/>
            <w:vAlign w:val="center"/>
          </w:tcPr>
          <w:p w:rsidR="008B3D13" w:rsidRDefault="00834CA8">
            <w:pPr>
              <w:jc w:val="center"/>
            </w:pPr>
            <w:r>
              <w:rPr>
                <w:color w:val="000000"/>
                <w:sz w:val="24"/>
              </w:rPr>
              <w:t>0.04%</w:t>
            </w:r>
          </w:p>
        </w:tc>
        <w:tc>
          <w:tcPr>
            <w:tcW w:w="1267" w:type="dxa"/>
            <w:vAlign w:val="center"/>
          </w:tcPr>
          <w:p w:rsidR="008B3D13" w:rsidRDefault="00834CA8">
            <w:pPr>
              <w:jc w:val="center"/>
            </w:pPr>
            <w:r>
              <w:rPr>
                <w:color w:val="000000"/>
                <w:sz w:val="24"/>
              </w:rPr>
              <w:t>0.36%</w:t>
            </w:r>
          </w:p>
        </w:tc>
        <w:tc>
          <w:tcPr>
            <w:tcW w:w="1267" w:type="dxa"/>
            <w:vAlign w:val="center"/>
          </w:tcPr>
          <w:p w:rsidR="008B3D13" w:rsidRDefault="00834CA8">
            <w:pPr>
              <w:jc w:val="center"/>
            </w:pPr>
            <w:r>
              <w:rPr>
                <w:color w:val="000000"/>
                <w:sz w:val="24"/>
              </w:rPr>
              <w:t>0.02%</w:t>
            </w:r>
          </w:p>
        </w:tc>
      </w:tr>
    </w:tbl>
    <w:p w:rsidR="00E73221" w:rsidRPr="007F52FA" w:rsidRDefault="00FE7FBD"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2017</w:t>
      </w:r>
      <w:r w:rsidRPr="007F52FA">
        <w:rPr>
          <w:color w:val="000000"/>
          <w:sz w:val="24"/>
        </w:rPr>
        <w:t>年</w:t>
      </w:r>
      <w:r w:rsidRPr="007F52FA">
        <w:rPr>
          <w:color w:val="000000"/>
          <w:sz w:val="24"/>
        </w:rPr>
        <w:t>8</w:t>
      </w:r>
      <w:r w:rsidRPr="007F52FA">
        <w:rPr>
          <w:color w:val="000000"/>
          <w:sz w:val="24"/>
        </w:rPr>
        <w:t>月</w:t>
      </w:r>
      <w:r w:rsidRPr="007F52FA">
        <w:rPr>
          <w:color w:val="000000"/>
          <w:sz w:val="24"/>
        </w:rPr>
        <w:t>14</w:t>
      </w:r>
      <w:r w:rsidRPr="007F52FA">
        <w:rPr>
          <w:color w:val="000000"/>
          <w:sz w:val="24"/>
        </w:rPr>
        <w:t>日起转为开放式运作，本基金的业绩比较基准由</w:t>
      </w:r>
      <w:r w:rsidRPr="007F52FA">
        <w:rPr>
          <w:color w:val="000000"/>
          <w:sz w:val="24"/>
        </w:rPr>
        <w:t>“</w:t>
      </w:r>
      <w:r w:rsidRPr="007F52FA">
        <w:rPr>
          <w:color w:val="000000"/>
          <w:sz w:val="24"/>
        </w:rPr>
        <w:t>三年期银行定期存款税后收益率</w:t>
      </w:r>
      <w:r w:rsidRPr="007F52FA">
        <w:rPr>
          <w:color w:val="000000"/>
          <w:sz w:val="24"/>
        </w:rPr>
        <w:t>”</w:t>
      </w:r>
      <w:r w:rsidRPr="007F52FA">
        <w:rPr>
          <w:color w:val="000000"/>
          <w:sz w:val="24"/>
        </w:rPr>
        <w:t>变更为</w:t>
      </w:r>
      <w:r w:rsidRPr="007F52FA">
        <w:rPr>
          <w:color w:val="000000"/>
          <w:sz w:val="24"/>
        </w:rPr>
        <w:t>“</w:t>
      </w:r>
      <w:r w:rsidRPr="007F52FA">
        <w:rPr>
          <w:color w:val="000000"/>
          <w:sz w:val="24"/>
        </w:rPr>
        <w:t>中债综合全价指数</w:t>
      </w:r>
      <w:r w:rsidRPr="007F52FA">
        <w:rPr>
          <w:color w:val="000000"/>
          <w:sz w:val="24"/>
        </w:rPr>
        <w:t>”</w:t>
      </w:r>
      <w:r w:rsidRPr="007F52FA">
        <w:rPr>
          <w:color w:val="000000"/>
          <w:sz w:val="24"/>
        </w:rPr>
        <w:t>，</w:t>
      </w:r>
      <w:r w:rsidRPr="007F52FA">
        <w:rPr>
          <w:color w:val="000000"/>
          <w:sz w:val="24"/>
        </w:rPr>
        <w:t>3.2.2</w:t>
      </w:r>
      <w:r w:rsidRPr="007F52FA">
        <w:rPr>
          <w:color w:val="000000"/>
          <w:sz w:val="24"/>
        </w:rPr>
        <w:t>同。</w:t>
      </w:r>
    </w:p>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交银施罗德丰盈收益债券型证券投资基金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w:t>
      </w:r>
      <w:r w:rsidR="00D04410" w:rsidRPr="007F52FA">
        <w:rPr>
          <w:rFonts w:ascii="Times New Roman" w:hAnsi="Times New Roman"/>
          <w:sz w:val="24"/>
          <w:szCs w:val="24"/>
        </w:rPr>
        <w:t>年</w:t>
      </w:r>
      <w:r w:rsidR="00D04410" w:rsidRPr="007F52FA">
        <w:rPr>
          <w:rFonts w:ascii="Times New Roman" w:hAnsi="Times New Roman"/>
          <w:sz w:val="24"/>
          <w:szCs w:val="24"/>
        </w:rPr>
        <w:t>8</w:t>
      </w:r>
      <w:r w:rsidR="00D04410" w:rsidRPr="007F52FA">
        <w:rPr>
          <w:rFonts w:ascii="Times New Roman" w:hAnsi="Times New Roman"/>
          <w:sz w:val="24"/>
          <w:szCs w:val="24"/>
        </w:rPr>
        <w:t>月</w:t>
      </w:r>
      <w:r w:rsidR="00D04410" w:rsidRPr="007F52FA">
        <w:rPr>
          <w:rFonts w:ascii="Times New Roman" w:hAnsi="Times New Roman"/>
          <w:sz w:val="24"/>
          <w:szCs w:val="24"/>
        </w:rPr>
        <w:t>11</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lastRenderedPageBreak/>
        <w:t>1</w:t>
      </w:r>
      <w:r w:rsidRPr="007F52FA">
        <w:rPr>
          <w:color w:val="000000"/>
          <w:sz w:val="24"/>
        </w:rPr>
        <w:t>．</w:t>
      </w:r>
      <w:r w:rsidR="0042785F" w:rsidRPr="007F52FA">
        <w:rPr>
          <w:color w:val="000000"/>
          <w:sz w:val="24"/>
        </w:rPr>
        <w:t>交银丰盈收益债券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交银丰盈收益债券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2017</w:t>
      </w:r>
      <w:r w:rsidRPr="007F52FA">
        <w:rPr>
          <w:color w:val="000000"/>
          <w:sz w:val="24"/>
        </w:rPr>
        <w:t>年</w:t>
      </w:r>
      <w:r w:rsidRPr="007F52FA">
        <w:rPr>
          <w:color w:val="000000"/>
          <w:sz w:val="24"/>
        </w:rPr>
        <w:t>8</w:t>
      </w:r>
      <w:r w:rsidRPr="007F52FA">
        <w:rPr>
          <w:color w:val="000000"/>
          <w:sz w:val="24"/>
        </w:rPr>
        <w:t>月</w:t>
      </w:r>
      <w:r w:rsidRPr="007F52FA">
        <w:rPr>
          <w:color w:val="000000"/>
          <w:sz w:val="24"/>
        </w:rPr>
        <w:t>14</w:t>
      </w:r>
      <w:r w:rsidRPr="007F52FA">
        <w:rPr>
          <w:color w:val="000000"/>
          <w:sz w:val="24"/>
        </w:rPr>
        <w:t>日起，开始销售</w:t>
      </w:r>
      <w:r w:rsidRPr="007F52FA">
        <w:rPr>
          <w:color w:val="000000"/>
          <w:sz w:val="24"/>
        </w:rPr>
        <w:t>C</w:t>
      </w:r>
      <w:r w:rsidRPr="007F52FA">
        <w:rPr>
          <w:color w:val="000000"/>
          <w:sz w:val="24"/>
        </w:rPr>
        <w:t>类份额，投资者提交的申购申请于</w:t>
      </w:r>
      <w:r w:rsidRPr="007F52FA">
        <w:rPr>
          <w:color w:val="000000"/>
          <w:sz w:val="24"/>
        </w:rPr>
        <w:t>2017</w:t>
      </w:r>
      <w:r w:rsidRPr="007F52FA">
        <w:rPr>
          <w:color w:val="000000"/>
          <w:sz w:val="24"/>
        </w:rPr>
        <w:t>年</w:t>
      </w:r>
      <w:r w:rsidRPr="007F52FA">
        <w:rPr>
          <w:color w:val="000000"/>
          <w:sz w:val="24"/>
        </w:rPr>
        <w:t>8</w:t>
      </w:r>
      <w:r w:rsidRPr="007F52FA">
        <w:rPr>
          <w:color w:val="000000"/>
          <w:sz w:val="24"/>
        </w:rPr>
        <w:t>月</w:t>
      </w:r>
      <w:r w:rsidRPr="007F52FA">
        <w:rPr>
          <w:color w:val="000000"/>
          <w:sz w:val="24"/>
        </w:rPr>
        <w:t>15</w:t>
      </w:r>
      <w:r w:rsidRPr="007F52FA">
        <w:rPr>
          <w:color w:val="000000"/>
          <w:sz w:val="24"/>
        </w:rPr>
        <w:t>日被确认并将有效份额登记在册。图示日期为</w:t>
      </w:r>
      <w:r w:rsidRPr="007F52FA">
        <w:rPr>
          <w:color w:val="000000"/>
          <w:sz w:val="24"/>
        </w:rPr>
        <w:t>2017</w:t>
      </w:r>
      <w:r w:rsidRPr="007F52FA">
        <w:rPr>
          <w:color w:val="000000"/>
          <w:sz w:val="24"/>
        </w:rPr>
        <w:t>年</w:t>
      </w:r>
      <w:r w:rsidRPr="007F52FA">
        <w:rPr>
          <w:color w:val="000000"/>
          <w:sz w:val="24"/>
        </w:rPr>
        <w:t>8</w:t>
      </w:r>
      <w:r w:rsidRPr="007F52FA">
        <w:rPr>
          <w:color w:val="000000"/>
          <w:sz w:val="24"/>
        </w:rPr>
        <w:t>月</w:t>
      </w:r>
      <w:r w:rsidRPr="007F52FA">
        <w:rPr>
          <w:color w:val="000000"/>
          <w:sz w:val="24"/>
        </w:rPr>
        <w:t>14</w:t>
      </w:r>
      <w:r w:rsidRPr="007F52FA">
        <w:rPr>
          <w:color w:val="000000"/>
          <w:sz w:val="24"/>
        </w:rPr>
        <w:t>日至</w:t>
      </w:r>
      <w:r w:rsidRPr="007F52FA">
        <w:rPr>
          <w:color w:val="000000"/>
          <w:sz w:val="24"/>
        </w:rPr>
        <w:t>2019</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8B3D13">
        <w:trPr>
          <w:jc w:val="center"/>
        </w:trPr>
        <w:tc>
          <w:tcPr>
            <w:tcW w:w="946" w:type="dxa"/>
            <w:vAlign w:val="center"/>
          </w:tcPr>
          <w:p w:rsidR="008B3D13" w:rsidRDefault="00834CA8">
            <w:pPr>
              <w:jc w:val="center"/>
            </w:pPr>
            <w:r>
              <w:rPr>
                <w:color w:val="000000"/>
                <w:sz w:val="24"/>
              </w:rPr>
              <w:t>连端清</w:t>
            </w:r>
          </w:p>
        </w:tc>
        <w:tc>
          <w:tcPr>
            <w:tcW w:w="924" w:type="dxa"/>
            <w:vAlign w:val="center"/>
          </w:tcPr>
          <w:p w:rsidR="008B3D13" w:rsidRDefault="00834CA8">
            <w:pPr>
              <w:jc w:val="center"/>
            </w:pPr>
            <w:r>
              <w:rPr>
                <w:color w:val="000000"/>
                <w:sz w:val="24"/>
              </w:rPr>
              <w:t>交银理财</w:t>
            </w:r>
            <w:r>
              <w:rPr>
                <w:color w:val="000000"/>
                <w:sz w:val="24"/>
              </w:rPr>
              <w:t>60</w:t>
            </w:r>
            <w:r>
              <w:rPr>
                <w:color w:val="000000"/>
                <w:sz w:val="24"/>
              </w:rPr>
              <w:t>天债券、交银丰盈收益债券、交银丰润收益债券、交银活期通货币、交银裕盈纯债债券、交银裕利纯债债券的基金经理</w:t>
            </w:r>
          </w:p>
        </w:tc>
        <w:tc>
          <w:tcPr>
            <w:tcW w:w="1202" w:type="dxa"/>
            <w:vAlign w:val="center"/>
          </w:tcPr>
          <w:p w:rsidR="008B3D13" w:rsidRDefault="00834CA8">
            <w:pPr>
              <w:jc w:val="center"/>
            </w:pPr>
            <w:r>
              <w:rPr>
                <w:color w:val="000000"/>
                <w:sz w:val="24"/>
              </w:rPr>
              <w:t>2015-08-04</w:t>
            </w:r>
          </w:p>
        </w:tc>
        <w:tc>
          <w:tcPr>
            <w:tcW w:w="1300" w:type="dxa"/>
            <w:vAlign w:val="center"/>
          </w:tcPr>
          <w:p w:rsidR="008B3D13" w:rsidRDefault="00834CA8">
            <w:pPr>
              <w:jc w:val="center"/>
            </w:pPr>
            <w:r>
              <w:rPr>
                <w:color w:val="000000"/>
                <w:sz w:val="24"/>
              </w:rPr>
              <w:t>-</w:t>
            </w:r>
          </w:p>
        </w:tc>
        <w:tc>
          <w:tcPr>
            <w:tcW w:w="1245" w:type="dxa"/>
            <w:vAlign w:val="center"/>
          </w:tcPr>
          <w:p w:rsidR="008B3D13" w:rsidRDefault="00834CA8">
            <w:pPr>
              <w:jc w:val="center"/>
            </w:pPr>
            <w:r>
              <w:rPr>
                <w:color w:val="000000"/>
                <w:sz w:val="24"/>
              </w:rPr>
              <w:t>6</w:t>
            </w:r>
            <w:r>
              <w:rPr>
                <w:color w:val="000000"/>
                <w:sz w:val="24"/>
              </w:rPr>
              <w:t>年</w:t>
            </w:r>
          </w:p>
        </w:tc>
        <w:tc>
          <w:tcPr>
            <w:tcW w:w="3251" w:type="dxa"/>
            <w:vAlign w:val="center"/>
          </w:tcPr>
          <w:p w:rsidR="008B3D13" w:rsidRDefault="00834CA8">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日担任交银施罗德裕兴纯债债券型证券投资基金的基金经理。</w:t>
            </w:r>
            <w:r>
              <w:rPr>
                <w:color w:val="000000"/>
                <w:sz w:val="24"/>
              </w:rPr>
              <w:t>2015</w:t>
            </w:r>
            <w:r>
              <w:rPr>
                <w:color w:val="000000"/>
                <w:sz w:val="24"/>
              </w:rPr>
              <w:t>年</w:t>
            </w:r>
            <w:r>
              <w:rPr>
                <w:color w:val="000000"/>
                <w:sz w:val="24"/>
              </w:rPr>
              <w:t>8</w:t>
            </w:r>
            <w:r>
              <w:rPr>
                <w:color w:val="000000"/>
                <w:sz w:val="24"/>
              </w:rPr>
              <w:t>月</w:t>
            </w:r>
            <w:r>
              <w:rPr>
                <w:color w:val="000000"/>
                <w:sz w:val="24"/>
              </w:rPr>
              <w:t>4</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日担任交银施罗德现金宝货币市场基金的基金经理。</w:t>
            </w:r>
            <w:r>
              <w:rPr>
                <w:color w:val="000000"/>
                <w:sz w:val="24"/>
              </w:rPr>
              <w:t>2015</w:t>
            </w:r>
            <w:r>
              <w:rPr>
                <w:color w:val="000000"/>
                <w:sz w:val="24"/>
              </w:rPr>
              <w:t>年</w:t>
            </w:r>
            <w:r>
              <w:rPr>
                <w:color w:val="000000"/>
                <w:sz w:val="24"/>
              </w:rPr>
              <w:t>10</w:t>
            </w:r>
            <w:r>
              <w:rPr>
                <w:color w:val="000000"/>
                <w:sz w:val="24"/>
              </w:rPr>
              <w:t>月</w:t>
            </w:r>
            <w:r>
              <w:rPr>
                <w:color w:val="000000"/>
                <w:sz w:val="24"/>
              </w:rPr>
              <w:t>16</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日担任交银施罗德货币市场证券投资基金的基金经理。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日担任交银施罗德天鑫宝货币市场基金的基金经理。</w:t>
            </w:r>
            <w:r>
              <w:rPr>
                <w:color w:val="000000"/>
                <w:sz w:val="24"/>
              </w:rPr>
              <w:t>2017</w:t>
            </w:r>
            <w:r>
              <w:rPr>
                <w:color w:val="000000"/>
                <w:sz w:val="24"/>
              </w:rPr>
              <w:t>年</w:t>
            </w:r>
            <w:r>
              <w:rPr>
                <w:color w:val="000000"/>
                <w:sz w:val="24"/>
              </w:rPr>
              <w:t>12</w:t>
            </w:r>
            <w:r>
              <w:rPr>
                <w:color w:val="000000"/>
                <w:sz w:val="24"/>
              </w:rPr>
              <w:t>月</w:t>
            </w:r>
            <w:r>
              <w:rPr>
                <w:color w:val="000000"/>
                <w:sz w:val="24"/>
              </w:rPr>
              <w:t>29</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日担任交银施罗德天运宝货币市场基金的基金经理。</w:t>
            </w:r>
            <w:r>
              <w:rPr>
                <w:color w:val="000000"/>
                <w:sz w:val="24"/>
              </w:rPr>
              <w:t>2016</w:t>
            </w:r>
            <w:r>
              <w:rPr>
                <w:color w:val="000000"/>
                <w:sz w:val="24"/>
              </w:rPr>
              <w:t>年</w:t>
            </w:r>
            <w:r>
              <w:rPr>
                <w:color w:val="000000"/>
                <w:sz w:val="24"/>
              </w:rPr>
              <w:t>10</w:t>
            </w:r>
            <w:r>
              <w:rPr>
                <w:color w:val="000000"/>
                <w:sz w:val="24"/>
              </w:rPr>
              <w:t>月</w:t>
            </w:r>
            <w:r>
              <w:rPr>
                <w:color w:val="000000"/>
                <w:sz w:val="24"/>
              </w:rPr>
              <w:t>19</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日担任交银施罗德天利宝货币市场基金的基金经理。</w:t>
            </w:r>
            <w:r>
              <w:rPr>
                <w:color w:val="000000"/>
                <w:sz w:val="24"/>
              </w:rPr>
              <w:t>2016</w:t>
            </w:r>
            <w:r>
              <w:rPr>
                <w:color w:val="000000"/>
                <w:sz w:val="24"/>
              </w:rPr>
              <w:t>年</w:t>
            </w:r>
            <w:r>
              <w:rPr>
                <w:color w:val="000000"/>
                <w:sz w:val="24"/>
              </w:rPr>
              <w:t>11</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日担任交银施罗德裕隆纯债债券型证券投资基金的基金经理。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20</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日担任交银施罗德天益宝货币市场基金的基金经理。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日担任交银施罗德境尚收益债券型证券投资基金的基金经理。</w:t>
            </w:r>
          </w:p>
        </w:tc>
      </w:tr>
      <w:tr w:rsidR="008B3D13">
        <w:trPr>
          <w:jc w:val="center"/>
        </w:trPr>
        <w:tc>
          <w:tcPr>
            <w:tcW w:w="946" w:type="dxa"/>
            <w:vAlign w:val="center"/>
          </w:tcPr>
          <w:p w:rsidR="008B3D13" w:rsidRDefault="00834CA8">
            <w:pPr>
              <w:jc w:val="center"/>
            </w:pPr>
            <w:r>
              <w:rPr>
                <w:color w:val="000000"/>
                <w:sz w:val="24"/>
              </w:rPr>
              <w:t>于海颖</w:t>
            </w:r>
          </w:p>
        </w:tc>
        <w:tc>
          <w:tcPr>
            <w:tcW w:w="924" w:type="dxa"/>
            <w:vAlign w:val="center"/>
          </w:tcPr>
          <w:p w:rsidR="008B3D13" w:rsidRDefault="00834CA8">
            <w:pPr>
              <w:jc w:val="center"/>
            </w:pPr>
            <w:r>
              <w:rPr>
                <w:color w:val="000000"/>
                <w:sz w:val="24"/>
              </w:rPr>
              <w:t>交银增利债券、交银纯债债券发起、交银丰盈收益债券、交银丰晟收益债券、交银裕如纯债债券、交银裕泰两年定期开放债券、交银裕坤纯债一年定期开放债券的基金经理，公司固定收益（公募）投资总监</w:t>
            </w:r>
          </w:p>
        </w:tc>
        <w:tc>
          <w:tcPr>
            <w:tcW w:w="1202" w:type="dxa"/>
            <w:vAlign w:val="center"/>
          </w:tcPr>
          <w:p w:rsidR="008B3D13" w:rsidRDefault="00834CA8">
            <w:pPr>
              <w:jc w:val="center"/>
            </w:pPr>
            <w:r>
              <w:rPr>
                <w:color w:val="000000"/>
                <w:sz w:val="24"/>
              </w:rPr>
              <w:t>2016-12-29</w:t>
            </w:r>
          </w:p>
        </w:tc>
        <w:tc>
          <w:tcPr>
            <w:tcW w:w="1300" w:type="dxa"/>
            <w:vAlign w:val="center"/>
          </w:tcPr>
          <w:p w:rsidR="008B3D13" w:rsidRDefault="00834CA8">
            <w:pPr>
              <w:jc w:val="center"/>
            </w:pPr>
            <w:r>
              <w:rPr>
                <w:color w:val="000000"/>
                <w:sz w:val="24"/>
              </w:rPr>
              <w:t>-</w:t>
            </w:r>
          </w:p>
        </w:tc>
        <w:tc>
          <w:tcPr>
            <w:tcW w:w="1245" w:type="dxa"/>
            <w:vAlign w:val="center"/>
          </w:tcPr>
          <w:p w:rsidR="008B3D13" w:rsidRDefault="00834CA8">
            <w:pPr>
              <w:jc w:val="center"/>
            </w:pPr>
            <w:r>
              <w:rPr>
                <w:color w:val="000000"/>
                <w:sz w:val="24"/>
              </w:rPr>
              <w:t>13</w:t>
            </w:r>
            <w:r>
              <w:rPr>
                <w:color w:val="000000"/>
                <w:sz w:val="24"/>
              </w:rPr>
              <w:t>年</w:t>
            </w:r>
          </w:p>
        </w:tc>
        <w:tc>
          <w:tcPr>
            <w:tcW w:w="3251" w:type="dxa"/>
            <w:vAlign w:val="center"/>
          </w:tcPr>
          <w:p w:rsidR="008B3D13" w:rsidRDefault="00834CA8">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w:t>
            </w:r>
            <w:r>
              <w:rPr>
                <w:color w:val="000000"/>
                <w:sz w:val="24"/>
              </w:rPr>
              <w:t>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w:t>
            </w:r>
            <w:r>
              <w:rPr>
                <w:color w:val="000000"/>
                <w:sz w:val="24"/>
              </w:rPr>
              <w:t>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日担任交银施罗德荣鑫保本混合型证券投资基金的基金经理。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日担任交银施罗德荣祥保本混合型证券投资基金的基金经理。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日担任交银施罗德定期支付月月丰债券型证券投资基金的基金经理。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日担任交银施罗德强化回报债券型证券投资基金的基金经理。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w:t>
            </w:r>
            <w:r>
              <w:rPr>
                <w:color w:val="000000"/>
                <w:sz w:val="24"/>
              </w:rPr>
              <w:t>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日担任交银施罗德增利增强债券型证券投资基金的基金经理。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日担任交银施罗德增强收益债券型证券投资基金的基金经理。</w:t>
            </w:r>
          </w:p>
        </w:tc>
      </w:tr>
    </w:tbl>
    <w:p w:rsidR="008B3D13" w:rsidRDefault="00834CA8">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8B3D13" w:rsidRDefault="00834CA8">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3</w:t>
      </w:r>
      <w:r w:rsidRPr="007F52FA">
        <w:rPr>
          <w:color w:val="000000"/>
          <w:sz w:val="24"/>
        </w:rPr>
        <w:t>、基金经理（或基金经理小组）期后变动（如有）敬请关注基金管理人发布的相关公告。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8B3D13" w:rsidRDefault="00834CA8">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B3D13" w:rsidRDefault="00834CA8">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B3D13" w:rsidRDefault="00834CA8">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w:t>
      </w:r>
      <w:r>
        <w:rPr>
          <w:color w:val="000000"/>
          <w:sz w:val="24"/>
        </w:rPr>
        <w:t>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8B3D13" w:rsidRDefault="00834CA8">
      <w:pPr>
        <w:spacing w:before="29" w:line="288" w:lineRule="auto"/>
        <w:ind w:firstLineChars="200" w:firstLine="480"/>
        <w:rPr>
          <w:color w:val="000000"/>
          <w:sz w:val="24"/>
        </w:rPr>
      </w:pPr>
      <w:r>
        <w:rPr>
          <w:color w:val="000000"/>
          <w:sz w:val="24"/>
        </w:rPr>
        <w:t>2019</w:t>
      </w:r>
      <w:r>
        <w:rPr>
          <w:color w:val="000000"/>
          <w:sz w:val="24"/>
        </w:rPr>
        <w:t>年四季度，国内部分经济数据有所企稳，但整体上经济依然有下行压力。国内制造业景气度有低位回升迹象，十一月中采制造业</w:t>
      </w:r>
      <w:r>
        <w:rPr>
          <w:color w:val="000000"/>
          <w:sz w:val="24"/>
        </w:rPr>
        <w:t>PMI</w:t>
      </w:r>
      <w:r>
        <w:rPr>
          <w:color w:val="000000"/>
          <w:sz w:val="24"/>
        </w:rPr>
        <w:t>重返荣枯线以上，财新</w:t>
      </w:r>
      <w:r>
        <w:rPr>
          <w:color w:val="000000"/>
          <w:sz w:val="24"/>
        </w:rPr>
        <w:t>PMI</w:t>
      </w:r>
      <w:r>
        <w:rPr>
          <w:color w:val="000000"/>
          <w:sz w:val="24"/>
        </w:rPr>
        <w:t>自八月至十一月持续企稳回升。十月至十一月</w:t>
      </w:r>
      <w:r>
        <w:rPr>
          <w:color w:val="000000"/>
          <w:sz w:val="24"/>
        </w:rPr>
        <w:t>PPI</w:t>
      </w:r>
      <w:r>
        <w:rPr>
          <w:color w:val="000000"/>
          <w:sz w:val="24"/>
        </w:rPr>
        <w:t>同比降幅收窄，工业增加值同比增速上升，但</w:t>
      </w:r>
      <w:r>
        <w:rPr>
          <w:color w:val="000000"/>
          <w:sz w:val="24"/>
        </w:rPr>
        <w:t>FAI</w:t>
      </w:r>
      <w:r>
        <w:rPr>
          <w:color w:val="000000"/>
          <w:sz w:val="24"/>
        </w:rPr>
        <w:t>同比增速依然处于下行通道之中。四季度，中美贸易谈判取得重要进展，十二月中美宣布就第一阶段经贸协议文本达成一致，贸易战暂时缓和。受猪肉价格大幅上涨等因素影响，四季度</w:t>
      </w:r>
      <w:r>
        <w:rPr>
          <w:color w:val="000000"/>
          <w:sz w:val="24"/>
        </w:rPr>
        <w:t>CPI</w:t>
      </w:r>
      <w:r>
        <w:rPr>
          <w:color w:val="000000"/>
          <w:sz w:val="24"/>
        </w:rPr>
        <w:t>大幅上升至</w:t>
      </w:r>
      <w:r>
        <w:rPr>
          <w:color w:val="000000"/>
          <w:sz w:val="24"/>
        </w:rPr>
        <w:t>4%</w:t>
      </w:r>
      <w:r>
        <w:rPr>
          <w:color w:val="000000"/>
          <w:sz w:val="24"/>
        </w:rPr>
        <w:t>以上。货币政策上，受经济下行与贷款利率居高等影响，四季度央行加强逆周期调节力度。</w:t>
      </w:r>
      <w:r>
        <w:rPr>
          <w:color w:val="000000"/>
          <w:sz w:val="24"/>
        </w:rPr>
        <w:t>201</w:t>
      </w:r>
      <w:r>
        <w:rPr>
          <w:color w:val="000000"/>
          <w:sz w:val="24"/>
        </w:rPr>
        <w:t>9</w:t>
      </w:r>
      <w:r>
        <w:rPr>
          <w:color w:val="000000"/>
          <w:sz w:val="24"/>
        </w:rPr>
        <w:t>年</w:t>
      </w:r>
      <w:r>
        <w:rPr>
          <w:color w:val="000000"/>
          <w:sz w:val="24"/>
        </w:rPr>
        <w:t>11</w:t>
      </w:r>
      <w:r>
        <w:rPr>
          <w:color w:val="000000"/>
          <w:sz w:val="24"/>
        </w:rPr>
        <w:t>月</w:t>
      </w:r>
      <w:r>
        <w:rPr>
          <w:color w:val="000000"/>
          <w:sz w:val="24"/>
        </w:rPr>
        <w:t>5</w:t>
      </w:r>
      <w:r>
        <w:rPr>
          <w:color w:val="000000"/>
          <w:sz w:val="24"/>
        </w:rPr>
        <w:t>日央行小幅下调</w:t>
      </w:r>
      <w:r>
        <w:rPr>
          <w:color w:val="000000"/>
          <w:sz w:val="24"/>
        </w:rPr>
        <w:t>MLF</w:t>
      </w:r>
      <w:r>
        <w:rPr>
          <w:color w:val="000000"/>
          <w:sz w:val="24"/>
        </w:rPr>
        <w:t>利率</w:t>
      </w:r>
      <w:r>
        <w:rPr>
          <w:color w:val="000000"/>
          <w:sz w:val="24"/>
        </w:rPr>
        <w:t>5</w:t>
      </w:r>
      <w:r>
        <w:rPr>
          <w:color w:val="000000"/>
          <w:sz w:val="24"/>
        </w:rPr>
        <w:t>个</w:t>
      </w:r>
      <w:r>
        <w:rPr>
          <w:color w:val="000000"/>
          <w:sz w:val="24"/>
        </w:rPr>
        <w:t>BP</w:t>
      </w:r>
      <w:r>
        <w:rPr>
          <w:color w:val="000000"/>
          <w:sz w:val="24"/>
        </w:rPr>
        <w:t>，并且于当月</w:t>
      </w:r>
      <w:r>
        <w:rPr>
          <w:color w:val="000000"/>
          <w:sz w:val="24"/>
        </w:rPr>
        <w:t>18</w:t>
      </w:r>
      <w:r>
        <w:rPr>
          <w:color w:val="000000"/>
          <w:sz w:val="24"/>
        </w:rPr>
        <w:t>日同等幅度下调七天逆回购利率，释放了温和降息的信号。四季度央行加大力度呵护市场流动性，在公开市场净投放</w:t>
      </w:r>
      <w:r>
        <w:rPr>
          <w:color w:val="000000"/>
          <w:sz w:val="24"/>
        </w:rPr>
        <w:t>8000</w:t>
      </w:r>
      <w:r>
        <w:rPr>
          <w:color w:val="000000"/>
          <w:sz w:val="24"/>
        </w:rPr>
        <w:t>亿以上。</w:t>
      </w:r>
    </w:p>
    <w:p w:rsidR="008B3D13" w:rsidRDefault="00834CA8">
      <w:pPr>
        <w:spacing w:before="29" w:line="288" w:lineRule="auto"/>
        <w:ind w:firstLineChars="200" w:firstLine="480"/>
        <w:rPr>
          <w:color w:val="000000"/>
          <w:sz w:val="24"/>
        </w:rPr>
      </w:pPr>
      <w:r>
        <w:rPr>
          <w:color w:val="000000"/>
          <w:sz w:val="24"/>
        </w:rPr>
        <w:t>资金面上，四季度银行间货币市场资金面从紧平衡转向偏宽松，资金价格中枢呈前高后低走势。十月受央行公开市场净回笼及缴税等因素影响，银行间市场资金面曾一度趋紧，资金价格攀升。但在十一月央行小幅降息，尤其在十二月为了呵护市场平稳跨年，央行加大公开市场净投放力度，资金面比较宽松，资金价格大幅下行。四季度存单与存款收益率中枢自十月至十一月中上</w:t>
      </w:r>
      <w:r>
        <w:rPr>
          <w:color w:val="000000"/>
          <w:sz w:val="24"/>
        </w:rPr>
        <w:t>旬曾持续继续走高。但是受央行公开市场降息及宽松资金面的影响，十一月下旬后存单存款收益率已呈回落走势，十二月中下旬更是显著下降。四季度，债市整体上呈先跌后涨走势。受央行宽松不及预期，中美贸易谈判进展向好，及</w:t>
      </w:r>
      <w:r>
        <w:rPr>
          <w:color w:val="000000"/>
          <w:sz w:val="24"/>
        </w:rPr>
        <w:t>CPI</w:t>
      </w:r>
      <w:r>
        <w:rPr>
          <w:color w:val="000000"/>
          <w:sz w:val="24"/>
        </w:rPr>
        <w:t>显著走高等影响，十月至十一月上旬债市继续调整。但在</w:t>
      </w:r>
      <w:r>
        <w:rPr>
          <w:color w:val="000000"/>
          <w:sz w:val="24"/>
        </w:rPr>
        <w:t>2019</w:t>
      </w:r>
      <w:r>
        <w:rPr>
          <w:color w:val="000000"/>
          <w:sz w:val="24"/>
        </w:rPr>
        <w:t>年</w:t>
      </w:r>
      <w:r>
        <w:rPr>
          <w:color w:val="000000"/>
          <w:sz w:val="24"/>
        </w:rPr>
        <w:t>11</w:t>
      </w:r>
      <w:r>
        <w:rPr>
          <w:color w:val="000000"/>
          <w:sz w:val="24"/>
        </w:rPr>
        <w:t>月</w:t>
      </w:r>
      <w:r>
        <w:rPr>
          <w:color w:val="000000"/>
          <w:sz w:val="24"/>
        </w:rPr>
        <w:t>5</w:t>
      </w:r>
      <w:r>
        <w:rPr>
          <w:color w:val="000000"/>
          <w:sz w:val="24"/>
        </w:rPr>
        <w:t>日央行公开市场超预期降息后，债市止跌回暖；十一月下旬至十二月中旬，曾有所回调，但十二月下旬在宽松的资金面及摊余成本债基买盘等推动下，债市再次上涨。</w:t>
      </w:r>
    </w:p>
    <w:p w:rsidR="008B3D13" w:rsidRDefault="00834CA8">
      <w:pPr>
        <w:spacing w:before="29" w:line="288" w:lineRule="auto"/>
        <w:ind w:firstLineChars="200" w:firstLine="480"/>
        <w:rPr>
          <w:color w:val="000000"/>
          <w:sz w:val="24"/>
        </w:rPr>
      </w:pPr>
      <w:r>
        <w:rPr>
          <w:color w:val="000000"/>
          <w:sz w:val="24"/>
        </w:rPr>
        <w:t>基金操作方面，报告期内本基金回笼流动性，以期满足基金份额持有人潜在赎回需求，同时择机调</w:t>
      </w:r>
      <w:r>
        <w:rPr>
          <w:color w:val="000000"/>
          <w:sz w:val="24"/>
        </w:rPr>
        <w:t>整组合杠杆与久期，为持有人创造稳健的回报。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2020</w:t>
      </w:r>
      <w:r w:rsidRPr="007F52FA">
        <w:rPr>
          <w:color w:val="000000"/>
          <w:sz w:val="24"/>
        </w:rPr>
        <w:t>年一季度，国内经济继续放缓风险依然存在。但考虑到中美贸易谈判取得进展、政府稳增长与逆周期调节政策力度加强等因素，边际放缓幅度可能继续收敛。我们预计一季度</w:t>
      </w:r>
      <w:r w:rsidRPr="007F52FA">
        <w:rPr>
          <w:color w:val="000000"/>
          <w:sz w:val="24"/>
        </w:rPr>
        <w:t>CPI</w:t>
      </w:r>
      <w:r w:rsidRPr="007F52FA">
        <w:rPr>
          <w:color w:val="000000"/>
          <w:sz w:val="24"/>
        </w:rPr>
        <w:t>同比可能继续走高，同时短期内央行货币政策将维持中性偏松，保持逆周期调节作用。我们将密切关注银保监会关于银行理财监管政策的推进情况、专项债等逆周期财政政策进展、以及中美贸易谈判后续进展情况等。组合管理方面，本基金将紧密跟踪研判宏观经济走势与央行货币政策操作，管控风险，积极跟踪把握市场机会，为投资者创造稳健的回报。</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本基金本报告期内连续二十个工作日以上出现基金资产净值低于</w:t>
      </w:r>
      <w:r w:rsidRPr="002070B4">
        <w:rPr>
          <w:color w:val="000000"/>
          <w:sz w:val="24"/>
        </w:rPr>
        <w:t>5000</w:t>
      </w:r>
      <w:r w:rsidRPr="002070B4">
        <w:rPr>
          <w:color w:val="000000"/>
          <w:sz w:val="24"/>
        </w:rPr>
        <w:t>万元的情形，截至本报告期末，本基金基金资产净值仍低于</w:t>
      </w:r>
      <w:r w:rsidRPr="002070B4">
        <w:rPr>
          <w:color w:val="000000"/>
          <w:sz w:val="24"/>
        </w:rPr>
        <w:t>5000</w:t>
      </w:r>
      <w:r w:rsidRPr="002070B4">
        <w:rPr>
          <w:color w:val="000000"/>
          <w:sz w:val="24"/>
        </w:rPr>
        <w:t>万元。</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37,393,836.10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96.00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37,393,836.10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96.00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567,404.42</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1.46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991,749.08</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2.55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38,952,989.60</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9,222,507.50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23.76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28,171,328.60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72.58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28,171,328.60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72.58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37,393,836.10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96.34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8B3D13">
        <w:trPr>
          <w:jc w:val="center"/>
        </w:trPr>
        <w:tc>
          <w:tcPr>
            <w:tcW w:w="1075" w:type="dxa"/>
            <w:vAlign w:val="center"/>
          </w:tcPr>
          <w:p w:rsidR="008B3D13" w:rsidRDefault="00834CA8">
            <w:pPr>
              <w:jc w:val="center"/>
            </w:pPr>
            <w:r>
              <w:rPr>
                <w:color w:val="000000"/>
                <w:sz w:val="24"/>
              </w:rPr>
              <w:t>1</w:t>
            </w:r>
          </w:p>
        </w:tc>
        <w:tc>
          <w:tcPr>
            <w:tcW w:w="1533" w:type="dxa"/>
            <w:vAlign w:val="center"/>
          </w:tcPr>
          <w:p w:rsidR="008B3D13" w:rsidRDefault="00834CA8">
            <w:pPr>
              <w:jc w:val="center"/>
            </w:pPr>
            <w:r>
              <w:rPr>
                <w:color w:val="000000"/>
                <w:sz w:val="24"/>
              </w:rPr>
              <w:t>190207</w:t>
            </w:r>
          </w:p>
        </w:tc>
        <w:tc>
          <w:tcPr>
            <w:tcW w:w="1533" w:type="dxa"/>
            <w:vAlign w:val="center"/>
          </w:tcPr>
          <w:p w:rsidR="008B3D13" w:rsidRDefault="00834CA8">
            <w:pPr>
              <w:jc w:val="center"/>
            </w:pPr>
            <w:r>
              <w:rPr>
                <w:color w:val="000000"/>
                <w:sz w:val="24"/>
              </w:rPr>
              <w:t>19</w:t>
            </w:r>
            <w:r>
              <w:rPr>
                <w:color w:val="000000"/>
                <w:sz w:val="24"/>
              </w:rPr>
              <w:t>国开</w:t>
            </w:r>
            <w:r>
              <w:rPr>
                <w:color w:val="000000"/>
                <w:sz w:val="24"/>
              </w:rPr>
              <w:t>07</w:t>
            </w:r>
          </w:p>
        </w:tc>
        <w:tc>
          <w:tcPr>
            <w:tcW w:w="1394" w:type="dxa"/>
            <w:vAlign w:val="center"/>
          </w:tcPr>
          <w:p w:rsidR="008B3D13" w:rsidRDefault="00834CA8">
            <w:pPr>
              <w:jc w:val="right"/>
            </w:pPr>
            <w:r>
              <w:rPr>
                <w:color w:val="000000"/>
                <w:sz w:val="24"/>
              </w:rPr>
              <w:t>200,000</w:t>
            </w:r>
          </w:p>
        </w:tc>
        <w:tc>
          <w:tcPr>
            <w:tcW w:w="1944" w:type="dxa"/>
            <w:vAlign w:val="center"/>
          </w:tcPr>
          <w:p w:rsidR="008B3D13" w:rsidRDefault="00834CA8">
            <w:pPr>
              <w:jc w:val="right"/>
            </w:pPr>
            <w:r>
              <w:rPr>
                <w:color w:val="000000"/>
                <w:sz w:val="24"/>
              </w:rPr>
              <w:t>20,148,000.00</w:t>
            </w:r>
          </w:p>
        </w:tc>
        <w:tc>
          <w:tcPr>
            <w:tcW w:w="1389" w:type="dxa"/>
            <w:vAlign w:val="center"/>
          </w:tcPr>
          <w:p w:rsidR="008B3D13" w:rsidRDefault="00834CA8">
            <w:pPr>
              <w:jc w:val="right"/>
            </w:pPr>
            <w:r>
              <w:rPr>
                <w:color w:val="000000"/>
                <w:sz w:val="24"/>
              </w:rPr>
              <w:t>51.91</w:t>
            </w:r>
          </w:p>
        </w:tc>
      </w:tr>
      <w:tr w:rsidR="008B3D13">
        <w:trPr>
          <w:jc w:val="center"/>
        </w:trPr>
        <w:tc>
          <w:tcPr>
            <w:tcW w:w="1075" w:type="dxa"/>
            <w:vAlign w:val="center"/>
          </w:tcPr>
          <w:p w:rsidR="008B3D13" w:rsidRDefault="00834CA8">
            <w:pPr>
              <w:jc w:val="center"/>
            </w:pPr>
            <w:r>
              <w:rPr>
                <w:color w:val="000000"/>
                <w:sz w:val="24"/>
              </w:rPr>
              <w:t>2</w:t>
            </w:r>
          </w:p>
        </w:tc>
        <w:tc>
          <w:tcPr>
            <w:tcW w:w="1533" w:type="dxa"/>
            <w:vAlign w:val="center"/>
          </w:tcPr>
          <w:p w:rsidR="008B3D13" w:rsidRDefault="00834CA8">
            <w:pPr>
              <w:jc w:val="center"/>
            </w:pPr>
            <w:r>
              <w:rPr>
                <w:color w:val="000000"/>
                <w:sz w:val="24"/>
              </w:rPr>
              <w:t>010107</w:t>
            </w:r>
          </w:p>
        </w:tc>
        <w:tc>
          <w:tcPr>
            <w:tcW w:w="1533" w:type="dxa"/>
            <w:vAlign w:val="center"/>
          </w:tcPr>
          <w:p w:rsidR="008B3D13" w:rsidRDefault="00834CA8">
            <w:pPr>
              <w:jc w:val="center"/>
            </w:pPr>
            <w:r>
              <w:rPr>
                <w:color w:val="000000"/>
                <w:sz w:val="24"/>
              </w:rPr>
              <w:t>21</w:t>
            </w:r>
            <w:r>
              <w:rPr>
                <w:color w:val="000000"/>
                <w:sz w:val="24"/>
              </w:rPr>
              <w:t>国债</w:t>
            </w:r>
            <w:r>
              <w:rPr>
                <w:color w:val="000000"/>
                <w:sz w:val="24"/>
              </w:rPr>
              <w:t>⑺</w:t>
            </w:r>
          </w:p>
        </w:tc>
        <w:tc>
          <w:tcPr>
            <w:tcW w:w="1394" w:type="dxa"/>
            <w:vAlign w:val="center"/>
          </w:tcPr>
          <w:p w:rsidR="008B3D13" w:rsidRDefault="00834CA8">
            <w:pPr>
              <w:jc w:val="right"/>
            </w:pPr>
            <w:r>
              <w:rPr>
                <w:color w:val="000000"/>
                <w:sz w:val="24"/>
              </w:rPr>
              <w:t>69,930</w:t>
            </w:r>
          </w:p>
        </w:tc>
        <w:tc>
          <w:tcPr>
            <w:tcW w:w="1944" w:type="dxa"/>
            <w:vAlign w:val="center"/>
          </w:tcPr>
          <w:p w:rsidR="008B3D13" w:rsidRDefault="00834CA8">
            <w:pPr>
              <w:jc w:val="right"/>
            </w:pPr>
            <w:r>
              <w:rPr>
                <w:color w:val="000000"/>
                <w:sz w:val="24"/>
              </w:rPr>
              <w:t>7,185,307.50</w:t>
            </w:r>
          </w:p>
        </w:tc>
        <w:tc>
          <w:tcPr>
            <w:tcW w:w="1389" w:type="dxa"/>
            <w:vAlign w:val="center"/>
          </w:tcPr>
          <w:p w:rsidR="008B3D13" w:rsidRDefault="00834CA8">
            <w:pPr>
              <w:jc w:val="right"/>
            </w:pPr>
            <w:r>
              <w:rPr>
                <w:color w:val="000000"/>
                <w:sz w:val="24"/>
              </w:rPr>
              <w:t>18.51</w:t>
            </w:r>
          </w:p>
        </w:tc>
      </w:tr>
      <w:tr w:rsidR="008B3D13">
        <w:trPr>
          <w:jc w:val="center"/>
        </w:trPr>
        <w:tc>
          <w:tcPr>
            <w:tcW w:w="1075" w:type="dxa"/>
            <w:vAlign w:val="center"/>
          </w:tcPr>
          <w:p w:rsidR="008B3D13" w:rsidRDefault="00834CA8">
            <w:pPr>
              <w:jc w:val="center"/>
            </w:pPr>
            <w:r>
              <w:rPr>
                <w:color w:val="000000"/>
                <w:sz w:val="24"/>
              </w:rPr>
              <w:t>3</w:t>
            </w:r>
          </w:p>
        </w:tc>
        <w:tc>
          <w:tcPr>
            <w:tcW w:w="1533" w:type="dxa"/>
            <w:vAlign w:val="center"/>
          </w:tcPr>
          <w:p w:rsidR="008B3D13" w:rsidRDefault="00834CA8">
            <w:pPr>
              <w:jc w:val="center"/>
            </w:pPr>
            <w:r>
              <w:rPr>
                <w:color w:val="000000"/>
                <w:sz w:val="24"/>
              </w:rPr>
              <w:t>018008</w:t>
            </w:r>
          </w:p>
        </w:tc>
        <w:tc>
          <w:tcPr>
            <w:tcW w:w="1533" w:type="dxa"/>
            <w:vAlign w:val="center"/>
          </w:tcPr>
          <w:p w:rsidR="008B3D13" w:rsidRDefault="00834CA8">
            <w:pPr>
              <w:jc w:val="center"/>
            </w:pPr>
            <w:r>
              <w:rPr>
                <w:color w:val="000000"/>
                <w:sz w:val="24"/>
              </w:rPr>
              <w:t>国开</w:t>
            </w:r>
            <w:r>
              <w:rPr>
                <w:color w:val="000000"/>
                <w:sz w:val="24"/>
              </w:rPr>
              <w:t>1802</w:t>
            </w:r>
          </w:p>
        </w:tc>
        <w:tc>
          <w:tcPr>
            <w:tcW w:w="1394" w:type="dxa"/>
            <w:vAlign w:val="center"/>
          </w:tcPr>
          <w:p w:rsidR="008B3D13" w:rsidRDefault="00834CA8">
            <w:pPr>
              <w:jc w:val="right"/>
            </w:pPr>
            <w:r>
              <w:rPr>
                <w:color w:val="000000"/>
                <w:sz w:val="24"/>
              </w:rPr>
              <w:t>30,010</w:t>
            </w:r>
          </w:p>
        </w:tc>
        <w:tc>
          <w:tcPr>
            <w:tcW w:w="1944" w:type="dxa"/>
            <w:vAlign w:val="center"/>
          </w:tcPr>
          <w:p w:rsidR="008B3D13" w:rsidRDefault="00834CA8">
            <w:pPr>
              <w:jc w:val="right"/>
            </w:pPr>
            <w:r>
              <w:rPr>
                <w:color w:val="000000"/>
                <w:sz w:val="24"/>
              </w:rPr>
              <w:t>3,086,828.60</w:t>
            </w:r>
          </w:p>
        </w:tc>
        <w:tc>
          <w:tcPr>
            <w:tcW w:w="1389" w:type="dxa"/>
            <w:vAlign w:val="center"/>
          </w:tcPr>
          <w:p w:rsidR="008B3D13" w:rsidRDefault="00834CA8">
            <w:pPr>
              <w:jc w:val="right"/>
            </w:pPr>
            <w:r>
              <w:rPr>
                <w:color w:val="000000"/>
                <w:sz w:val="24"/>
              </w:rPr>
              <w:t>7.95</w:t>
            </w:r>
          </w:p>
        </w:tc>
      </w:tr>
      <w:tr w:rsidR="008B3D13">
        <w:trPr>
          <w:jc w:val="center"/>
        </w:trPr>
        <w:tc>
          <w:tcPr>
            <w:tcW w:w="1075" w:type="dxa"/>
            <w:vAlign w:val="center"/>
          </w:tcPr>
          <w:p w:rsidR="008B3D13" w:rsidRDefault="00834CA8">
            <w:pPr>
              <w:jc w:val="center"/>
            </w:pPr>
            <w:r>
              <w:rPr>
                <w:color w:val="000000"/>
                <w:sz w:val="24"/>
              </w:rPr>
              <w:t>4</w:t>
            </w:r>
          </w:p>
        </w:tc>
        <w:tc>
          <w:tcPr>
            <w:tcW w:w="1533" w:type="dxa"/>
            <w:vAlign w:val="center"/>
          </w:tcPr>
          <w:p w:rsidR="008B3D13" w:rsidRDefault="00834CA8">
            <w:pPr>
              <w:jc w:val="center"/>
            </w:pPr>
            <w:r>
              <w:rPr>
                <w:color w:val="000000"/>
                <w:sz w:val="24"/>
              </w:rPr>
              <w:t>018007</w:t>
            </w:r>
          </w:p>
        </w:tc>
        <w:tc>
          <w:tcPr>
            <w:tcW w:w="1533" w:type="dxa"/>
            <w:vAlign w:val="center"/>
          </w:tcPr>
          <w:p w:rsidR="008B3D13" w:rsidRDefault="00834CA8">
            <w:pPr>
              <w:jc w:val="center"/>
            </w:pPr>
            <w:r>
              <w:rPr>
                <w:color w:val="000000"/>
                <w:sz w:val="24"/>
              </w:rPr>
              <w:t>国开</w:t>
            </w:r>
            <w:r>
              <w:rPr>
                <w:color w:val="000000"/>
                <w:sz w:val="24"/>
              </w:rPr>
              <w:t>1801</w:t>
            </w:r>
          </w:p>
        </w:tc>
        <w:tc>
          <w:tcPr>
            <w:tcW w:w="1394" w:type="dxa"/>
            <w:vAlign w:val="center"/>
          </w:tcPr>
          <w:p w:rsidR="008B3D13" w:rsidRDefault="00834CA8">
            <w:pPr>
              <w:jc w:val="right"/>
            </w:pPr>
            <w:r>
              <w:rPr>
                <w:color w:val="000000"/>
                <w:sz w:val="24"/>
              </w:rPr>
              <w:t>23,800</w:t>
            </w:r>
          </w:p>
        </w:tc>
        <w:tc>
          <w:tcPr>
            <w:tcW w:w="1944" w:type="dxa"/>
            <w:vAlign w:val="center"/>
          </w:tcPr>
          <w:p w:rsidR="008B3D13" w:rsidRDefault="00834CA8">
            <w:pPr>
              <w:jc w:val="right"/>
            </w:pPr>
            <w:r>
              <w:rPr>
                <w:color w:val="000000"/>
                <w:sz w:val="24"/>
              </w:rPr>
              <w:t>2,397,850.00</w:t>
            </w:r>
          </w:p>
        </w:tc>
        <w:tc>
          <w:tcPr>
            <w:tcW w:w="1389" w:type="dxa"/>
            <w:vAlign w:val="center"/>
          </w:tcPr>
          <w:p w:rsidR="008B3D13" w:rsidRDefault="00834CA8">
            <w:pPr>
              <w:jc w:val="right"/>
            </w:pPr>
            <w:r>
              <w:rPr>
                <w:color w:val="000000"/>
                <w:sz w:val="24"/>
              </w:rPr>
              <w:t>6.18</w:t>
            </w:r>
          </w:p>
        </w:tc>
      </w:tr>
      <w:tr w:rsidR="008B3D13">
        <w:trPr>
          <w:jc w:val="center"/>
        </w:trPr>
        <w:tc>
          <w:tcPr>
            <w:tcW w:w="1075" w:type="dxa"/>
            <w:vAlign w:val="center"/>
          </w:tcPr>
          <w:p w:rsidR="008B3D13" w:rsidRDefault="00834CA8">
            <w:pPr>
              <w:jc w:val="center"/>
            </w:pPr>
            <w:r>
              <w:rPr>
                <w:color w:val="000000"/>
                <w:sz w:val="24"/>
              </w:rPr>
              <w:t>5</w:t>
            </w:r>
          </w:p>
        </w:tc>
        <w:tc>
          <w:tcPr>
            <w:tcW w:w="1533" w:type="dxa"/>
            <w:vAlign w:val="center"/>
          </w:tcPr>
          <w:p w:rsidR="008B3D13" w:rsidRDefault="00834CA8">
            <w:pPr>
              <w:jc w:val="center"/>
            </w:pPr>
            <w:r>
              <w:rPr>
                <w:color w:val="000000"/>
                <w:sz w:val="24"/>
              </w:rPr>
              <w:t>010303</w:t>
            </w:r>
          </w:p>
        </w:tc>
        <w:tc>
          <w:tcPr>
            <w:tcW w:w="1533" w:type="dxa"/>
            <w:vAlign w:val="center"/>
          </w:tcPr>
          <w:p w:rsidR="008B3D13" w:rsidRDefault="00834CA8">
            <w:pPr>
              <w:jc w:val="center"/>
            </w:pPr>
            <w:r>
              <w:rPr>
                <w:color w:val="000000"/>
                <w:sz w:val="24"/>
              </w:rPr>
              <w:t>03</w:t>
            </w:r>
            <w:r>
              <w:rPr>
                <w:color w:val="000000"/>
                <w:sz w:val="24"/>
              </w:rPr>
              <w:t>国债</w:t>
            </w:r>
            <w:r>
              <w:rPr>
                <w:color w:val="000000"/>
                <w:sz w:val="24"/>
              </w:rPr>
              <w:t>⑶</w:t>
            </w:r>
          </w:p>
        </w:tc>
        <w:tc>
          <w:tcPr>
            <w:tcW w:w="1394" w:type="dxa"/>
            <w:vAlign w:val="center"/>
          </w:tcPr>
          <w:p w:rsidR="008B3D13" w:rsidRDefault="00834CA8">
            <w:pPr>
              <w:jc w:val="right"/>
            </w:pPr>
            <w:r>
              <w:rPr>
                <w:color w:val="000000"/>
                <w:sz w:val="24"/>
              </w:rPr>
              <w:t>20,000</w:t>
            </w:r>
          </w:p>
        </w:tc>
        <w:tc>
          <w:tcPr>
            <w:tcW w:w="1944" w:type="dxa"/>
            <w:vAlign w:val="center"/>
          </w:tcPr>
          <w:p w:rsidR="008B3D13" w:rsidRDefault="00834CA8">
            <w:pPr>
              <w:jc w:val="right"/>
            </w:pPr>
            <w:r>
              <w:rPr>
                <w:color w:val="000000"/>
                <w:sz w:val="24"/>
              </w:rPr>
              <w:t>2,037,200.00</w:t>
            </w:r>
          </w:p>
        </w:tc>
        <w:tc>
          <w:tcPr>
            <w:tcW w:w="1389" w:type="dxa"/>
            <w:vAlign w:val="center"/>
          </w:tcPr>
          <w:p w:rsidR="008B3D13" w:rsidRDefault="00834CA8">
            <w:pPr>
              <w:jc w:val="right"/>
            </w:pPr>
            <w:r>
              <w:rPr>
                <w:color w:val="000000"/>
                <w:sz w:val="24"/>
              </w:rPr>
              <w:t>5.25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Default="001D5CD0" w:rsidP="007C14DF">
      <w:pPr>
        <w:autoSpaceDE w:val="0"/>
        <w:autoSpaceDN w:val="0"/>
        <w:adjustRightInd w:val="0"/>
        <w:spacing w:before="29" w:line="288" w:lineRule="auto"/>
        <w:rPr>
          <w:kern w:val="0"/>
          <w:sz w:val="24"/>
        </w:rPr>
      </w:pPr>
      <w:r w:rsidRPr="007F52FA">
        <w:rPr>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t>金额单位：人民币元</w:t>
      </w:r>
    </w:p>
    <w:tbl>
      <w:tblPr>
        <w:tblStyle w:val="af2"/>
        <w:tblW w:w="8868" w:type="dxa"/>
        <w:jc w:val="center"/>
        <w:tblLook w:val="04A0" w:firstRow="1" w:lastRow="0" w:firstColumn="1" w:lastColumn="0" w:noHBand="0" w:noVBand="1"/>
      </w:tblPr>
      <w:tblGrid>
        <w:gridCol w:w="1246"/>
        <w:gridCol w:w="2777"/>
        <w:gridCol w:w="4845"/>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2,378.15</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305,425.62</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673,239.31</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10,706.00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991,749.08</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901A22" w:rsidRDefault="001D5CD0" w:rsidP="007C14DF">
      <w:pPr>
        <w:spacing w:before="29" w:line="288" w:lineRule="auto"/>
        <w:rPr>
          <w:rFonts w:eastAsiaTheme="minorEastAsia"/>
          <w:b/>
          <w:color w:val="000000"/>
          <w:kern w:val="0"/>
          <w:sz w:val="24"/>
        </w:rPr>
      </w:pP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交银丰盈收益债券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交银丰盈收益债券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37,010,473.06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1,157,719.20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22,086,578.01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7,930,103.82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29,896,128.86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2,979,768.57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29,200,922.21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6,108,054.45</w:t>
            </w:r>
          </w:p>
        </w:tc>
      </w:tr>
    </w:tbl>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8B3D13">
        <w:tc>
          <w:tcPr>
            <w:tcW w:w="992" w:type="dxa"/>
            <w:vMerge w:val="restart"/>
          </w:tcPr>
          <w:p w:rsidR="008B3D13" w:rsidRDefault="008B3D13"/>
          <w:p w:rsidR="008B3D13" w:rsidRDefault="00834CA8">
            <w:r>
              <w:rPr>
                <w:rFonts w:ascii="宋体" w:hAnsi="宋体" w:hint="eastAsia"/>
                <w:bCs/>
                <w:color w:val="000000"/>
                <w:kern w:val="0"/>
                <w:szCs w:val="21"/>
              </w:rPr>
              <w:t>机构</w:t>
            </w:r>
          </w:p>
        </w:tc>
        <w:tc>
          <w:tcPr>
            <w:tcW w:w="991" w:type="dxa"/>
            <w:vAlign w:val="center"/>
          </w:tcPr>
          <w:p w:rsidR="008B3D13" w:rsidRDefault="00834CA8">
            <w:pPr>
              <w:jc w:val="center"/>
            </w:pPr>
            <w:r>
              <w:rPr>
                <w:rFonts w:ascii="宋体" w:hAnsi="宋体" w:hint="eastAsia"/>
                <w:color w:val="000000"/>
                <w:kern w:val="0"/>
                <w:szCs w:val="21"/>
              </w:rPr>
              <w:t>1</w:t>
            </w:r>
          </w:p>
        </w:tc>
        <w:tc>
          <w:tcPr>
            <w:tcW w:w="1843" w:type="dxa"/>
            <w:vAlign w:val="center"/>
          </w:tcPr>
          <w:p w:rsidR="008B3D13" w:rsidRDefault="00834CA8">
            <w:pPr>
              <w:jc w:val="center"/>
            </w:pPr>
            <w:r>
              <w:rPr>
                <w:rFonts w:ascii="宋体" w:hAnsi="宋体" w:hint="eastAsia"/>
                <w:color w:val="000000"/>
                <w:kern w:val="0"/>
                <w:szCs w:val="21"/>
              </w:rPr>
              <w:t>2019/10/1-2019/12/31</w:t>
            </w:r>
          </w:p>
        </w:tc>
        <w:tc>
          <w:tcPr>
            <w:tcW w:w="851" w:type="dxa"/>
            <w:vAlign w:val="center"/>
          </w:tcPr>
          <w:p w:rsidR="008B3D13" w:rsidRDefault="00834CA8">
            <w:pPr>
              <w:jc w:val="center"/>
            </w:pPr>
            <w:r>
              <w:rPr>
                <w:rFonts w:ascii="宋体" w:hAnsi="宋体" w:hint="eastAsia"/>
                <w:color w:val="000000"/>
                <w:kern w:val="0"/>
                <w:szCs w:val="21"/>
              </w:rPr>
              <w:t>-</w:t>
            </w:r>
          </w:p>
        </w:tc>
        <w:tc>
          <w:tcPr>
            <w:tcW w:w="850" w:type="dxa"/>
            <w:vAlign w:val="center"/>
          </w:tcPr>
          <w:p w:rsidR="008B3D13" w:rsidRDefault="00834CA8">
            <w:pPr>
              <w:jc w:val="center"/>
            </w:pPr>
            <w:r>
              <w:rPr>
                <w:rFonts w:ascii="宋体" w:hAnsi="宋体" w:hint="eastAsia"/>
                <w:color w:val="000000"/>
                <w:kern w:val="0"/>
                <w:szCs w:val="21"/>
              </w:rPr>
              <w:t>7,136,485.28</w:t>
            </w:r>
          </w:p>
        </w:tc>
        <w:tc>
          <w:tcPr>
            <w:tcW w:w="1134" w:type="dxa"/>
            <w:vAlign w:val="center"/>
          </w:tcPr>
          <w:p w:rsidR="008B3D13" w:rsidRDefault="00834CA8">
            <w:pPr>
              <w:jc w:val="center"/>
            </w:pPr>
            <w:r>
              <w:rPr>
                <w:rFonts w:ascii="宋体" w:hAnsi="宋体" w:hint="eastAsia"/>
                <w:color w:val="000000"/>
                <w:kern w:val="0"/>
                <w:szCs w:val="21"/>
              </w:rPr>
              <w:t>2,136,485.25</w:t>
            </w:r>
          </w:p>
        </w:tc>
        <w:tc>
          <w:tcPr>
            <w:tcW w:w="1419" w:type="dxa"/>
            <w:vAlign w:val="center"/>
          </w:tcPr>
          <w:p w:rsidR="008B3D13" w:rsidRDefault="00834CA8">
            <w:pPr>
              <w:jc w:val="center"/>
            </w:pPr>
            <w:r>
              <w:rPr>
                <w:rFonts w:ascii="宋体" w:hAnsi="宋体" w:hint="eastAsia"/>
                <w:color w:val="000000"/>
                <w:kern w:val="0"/>
                <w:szCs w:val="21"/>
              </w:rPr>
              <w:t>5,000,000.03</w:t>
            </w:r>
          </w:p>
        </w:tc>
        <w:tc>
          <w:tcPr>
            <w:tcW w:w="1130" w:type="dxa"/>
            <w:vAlign w:val="center"/>
          </w:tcPr>
          <w:p w:rsidR="008B3D13" w:rsidRDefault="00834CA8">
            <w:pPr>
              <w:jc w:val="center"/>
            </w:pPr>
            <w:r>
              <w:rPr>
                <w:rFonts w:ascii="宋体" w:hAnsi="宋体" w:hint="eastAsia"/>
                <w:color w:val="000000"/>
                <w:kern w:val="0"/>
                <w:szCs w:val="21"/>
              </w:rPr>
              <w:t>14.16%</w:t>
            </w:r>
          </w:p>
        </w:tc>
      </w:tr>
      <w:tr w:rsidR="008B3D13">
        <w:tc>
          <w:tcPr>
            <w:tcW w:w="992" w:type="dxa"/>
            <w:vMerge/>
          </w:tcPr>
          <w:p w:rsidR="008B3D13" w:rsidRDefault="008B3D13"/>
        </w:tc>
        <w:tc>
          <w:tcPr>
            <w:tcW w:w="991" w:type="dxa"/>
            <w:vAlign w:val="center"/>
          </w:tcPr>
          <w:p w:rsidR="008B3D13" w:rsidRDefault="00834CA8">
            <w:pPr>
              <w:jc w:val="center"/>
            </w:pPr>
            <w:r>
              <w:rPr>
                <w:rFonts w:ascii="宋体" w:hAnsi="宋体" w:hint="eastAsia"/>
                <w:color w:val="000000"/>
                <w:kern w:val="0"/>
                <w:szCs w:val="21"/>
              </w:rPr>
              <w:t>2</w:t>
            </w:r>
          </w:p>
        </w:tc>
        <w:tc>
          <w:tcPr>
            <w:tcW w:w="1843" w:type="dxa"/>
            <w:vAlign w:val="center"/>
          </w:tcPr>
          <w:p w:rsidR="008B3D13" w:rsidRDefault="00834CA8">
            <w:pPr>
              <w:jc w:val="center"/>
            </w:pPr>
            <w:r>
              <w:rPr>
                <w:rFonts w:ascii="宋体" w:hAnsi="宋体" w:hint="eastAsia"/>
                <w:color w:val="000000"/>
                <w:kern w:val="0"/>
                <w:szCs w:val="21"/>
              </w:rPr>
              <w:t>2019/10/1-2019/12/31</w:t>
            </w:r>
          </w:p>
        </w:tc>
        <w:tc>
          <w:tcPr>
            <w:tcW w:w="851" w:type="dxa"/>
            <w:vAlign w:val="center"/>
          </w:tcPr>
          <w:p w:rsidR="008B3D13" w:rsidRDefault="00834CA8">
            <w:pPr>
              <w:jc w:val="center"/>
            </w:pPr>
            <w:r>
              <w:rPr>
                <w:rFonts w:ascii="宋体" w:hAnsi="宋体" w:hint="eastAsia"/>
                <w:color w:val="000000"/>
                <w:kern w:val="0"/>
                <w:szCs w:val="21"/>
              </w:rPr>
              <w:t>-</w:t>
            </w:r>
          </w:p>
        </w:tc>
        <w:tc>
          <w:tcPr>
            <w:tcW w:w="850" w:type="dxa"/>
            <w:vAlign w:val="center"/>
          </w:tcPr>
          <w:p w:rsidR="008B3D13" w:rsidRDefault="00834CA8">
            <w:pPr>
              <w:jc w:val="center"/>
            </w:pPr>
            <w:r>
              <w:rPr>
                <w:rFonts w:ascii="宋体" w:hAnsi="宋体" w:hint="eastAsia"/>
                <w:color w:val="000000"/>
                <w:kern w:val="0"/>
                <w:szCs w:val="21"/>
              </w:rPr>
              <w:t>17,446,280.99</w:t>
            </w:r>
          </w:p>
        </w:tc>
        <w:tc>
          <w:tcPr>
            <w:tcW w:w="1134" w:type="dxa"/>
            <w:vAlign w:val="center"/>
          </w:tcPr>
          <w:p w:rsidR="008B3D13" w:rsidRDefault="00834CA8">
            <w:pPr>
              <w:jc w:val="center"/>
            </w:pPr>
            <w:r>
              <w:rPr>
                <w:rFonts w:ascii="宋体" w:hAnsi="宋体" w:hint="eastAsia"/>
                <w:color w:val="000000"/>
                <w:kern w:val="0"/>
                <w:szCs w:val="21"/>
              </w:rPr>
              <w:t>-</w:t>
            </w:r>
          </w:p>
        </w:tc>
        <w:tc>
          <w:tcPr>
            <w:tcW w:w="1419" w:type="dxa"/>
            <w:vAlign w:val="center"/>
          </w:tcPr>
          <w:p w:rsidR="008B3D13" w:rsidRDefault="00834CA8">
            <w:pPr>
              <w:jc w:val="center"/>
            </w:pPr>
            <w:r>
              <w:rPr>
                <w:rFonts w:ascii="宋体" w:hAnsi="宋体" w:hint="eastAsia"/>
                <w:color w:val="000000"/>
                <w:kern w:val="0"/>
                <w:szCs w:val="21"/>
              </w:rPr>
              <w:t>17,446,280.99</w:t>
            </w:r>
          </w:p>
        </w:tc>
        <w:tc>
          <w:tcPr>
            <w:tcW w:w="1130" w:type="dxa"/>
            <w:vAlign w:val="center"/>
          </w:tcPr>
          <w:p w:rsidR="008B3D13" w:rsidRDefault="00834CA8">
            <w:pPr>
              <w:jc w:val="center"/>
            </w:pPr>
            <w:r>
              <w:rPr>
                <w:rFonts w:ascii="宋体" w:hAnsi="宋体" w:hint="eastAsia"/>
                <w:color w:val="000000"/>
                <w:kern w:val="0"/>
                <w:szCs w:val="21"/>
              </w:rPr>
              <w:t>49.41%</w:t>
            </w:r>
          </w:p>
        </w:tc>
      </w:tr>
      <w:tr w:rsidR="008B3D13">
        <w:tc>
          <w:tcPr>
            <w:tcW w:w="992" w:type="dxa"/>
            <w:vMerge/>
          </w:tcPr>
          <w:p w:rsidR="008B3D13" w:rsidRDefault="008B3D13"/>
        </w:tc>
        <w:tc>
          <w:tcPr>
            <w:tcW w:w="991" w:type="dxa"/>
            <w:vAlign w:val="center"/>
          </w:tcPr>
          <w:p w:rsidR="008B3D13" w:rsidRDefault="00834CA8">
            <w:pPr>
              <w:jc w:val="center"/>
            </w:pPr>
            <w:r>
              <w:rPr>
                <w:rFonts w:ascii="宋体" w:hAnsi="宋体" w:hint="eastAsia"/>
                <w:color w:val="000000"/>
                <w:kern w:val="0"/>
                <w:szCs w:val="21"/>
              </w:rPr>
              <w:t>3</w:t>
            </w:r>
          </w:p>
        </w:tc>
        <w:tc>
          <w:tcPr>
            <w:tcW w:w="1843" w:type="dxa"/>
            <w:vAlign w:val="center"/>
          </w:tcPr>
          <w:p w:rsidR="008B3D13" w:rsidRDefault="00834CA8">
            <w:pPr>
              <w:jc w:val="center"/>
            </w:pPr>
            <w:r>
              <w:rPr>
                <w:rFonts w:ascii="宋体" w:hAnsi="宋体" w:hint="eastAsia"/>
                <w:color w:val="000000"/>
                <w:kern w:val="0"/>
                <w:szCs w:val="21"/>
              </w:rPr>
              <w:t>2019/10/1-2019/12/31</w:t>
            </w:r>
          </w:p>
        </w:tc>
        <w:tc>
          <w:tcPr>
            <w:tcW w:w="851" w:type="dxa"/>
            <w:vAlign w:val="center"/>
          </w:tcPr>
          <w:p w:rsidR="008B3D13" w:rsidRDefault="00834CA8">
            <w:pPr>
              <w:jc w:val="center"/>
            </w:pPr>
            <w:r>
              <w:rPr>
                <w:rFonts w:ascii="宋体" w:hAnsi="宋体" w:hint="eastAsia"/>
                <w:color w:val="000000"/>
                <w:kern w:val="0"/>
                <w:szCs w:val="21"/>
              </w:rPr>
              <w:t>18,569,173.63</w:t>
            </w:r>
          </w:p>
        </w:tc>
        <w:tc>
          <w:tcPr>
            <w:tcW w:w="850" w:type="dxa"/>
            <w:vAlign w:val="center"/>
          </w:tcPr>
          <w:p w:rsidR="008B3D13" w:rsidRDefault="00834CA8">
            <w:pPr>
              <w:jc w:val="center"/>
            </w:pPr>
            <w:r>
              <w:rPr>
                <w:rFonts w:ascii="宋体" w:hAnsi="宋体" w:hint="eastAsia"/>
                <w:color w:val="000000"/>
                <w:kern w:val="0"/>
                <w:szCs w:val="21"/>
              </w:rPr>
              <w:t>-</w:t>
            </w:r>
          </w:p>
        </w:tc>
        <w:tc>
          <w:tcPr>
            <w:tcW w:w="1134" w:type="dxa"/>
            <w:vAlign w:val="center"/>
          </w:tcPr>
          <w:p w:rsidR="008B3D13" w:rsidRDefault="00834CA8">
            <w:pPr>
              <w:jc w:val="center"/>
            </w:pPr>
            <w:r>
              <w:rPr>
                <w:rFonts w:ascii="宋体" w:hAnsi="宋体" w:hint="eastAsia"/>
                <w:color w:val="000000"/>
                <w:kern w:val="0"/>
                <w:szCs w:val="21"/>
              </w:rPr>
              <w:t>18,569,173.63</w:t>
            </w:r>
          </w:p>
        </w:tc>
        <w:tc>
          <w:tcPr>
            <w:tcW w:w="1419" w:type="dxa"/>
            <w:vAlign w:val="center"/>
          </w:tcPr>
          <w:p w:rsidR="008B3D13" w:rsidRDefault="00834CA8">
            <w:pPr>
              <w:jc w:val="center"/>
            </w:pPr>
            <w:r>
              <w:rPr>
                <w:rFonts w:ascii="宋体" w:hAnsi="宋体" w:hint="eastAsia"/>
                <w:color w:val="000000"/>
                <w:kern w:val="0"/>
                <w:szCs w:val="21"/>
              </w:rPr>
              <w:t>-</w:t>
            </w:r>
          </w:p>
        </w:tc>
        <w:tc>
          <w:tcPr>
            <w:tcW w:w="1130" w:type="dxa"/>
            <w:vAlign w:val="center"/>
          </w:tcPr>
          <w:p w:rsidR="008B3D13" w:rsidRDefault="00834CA8">
            <w:pPr>
              <w:jc w:val="center"/>
            </w:pPr>
            <w:r>
              <w:rPr>
                <w:rFonts w:ascii="宋体" w:hAnsi="宋体" w:hint="eastAsia"/>
                <w:color w:val="000000"/>
                <w:kern w:val="0"/>
                <w:szCs w:val="21"/>
              </w:rPr>
              <w:t>-</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8.2 影响投资者决策的其他重要信息</w:t>
      </w:r>
    </w:p>
    <w:p w:rsidR="00ED0E09" w:rsidRDefault="00ED0E09" w:rsidP="00ED0E09">
      <w:pPr>
        <w:spacing w:line="360" w:lineRule="auto"/>
        <w:ind w:firstLineChars="200" w:firstLine="420"/>
        <w:rPr>
          <w:rFonts w:ascii="宋体" w:hAnsi="宋体"/>
          <w:color w:val="000000"/>
          <w:szCs w:val="21"/>
        </w:rPr>
      </w:pPr>
      <w:r>
        <w:rPr>
          <w:rFonts w:ascii="宋体" w:hAnsi="宋体" w:hint="eastAsia"/>
          <w:color w:val="000000"/>
          <w:szCs w:val="21"/>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8B3D13" w:rsidRDefault="00834CA8">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、中国证监会准予交银施罗德丰盈收益债券型证券投资基金募集注册的文件；</w:t>
      </w:r>
      <w:r>
        <w:rPr>
          <w:rFonts w:eastAsiaTheme="minorEastAsia"/>
          <w:color w:val="000000"/>
          <w:sz w:val="24"/>
        </w:rPr>
        <w:t xml:space="preserve"> </w:t>
      </w:r>
    </w:p>
    <w:p w:rsidR="008B3D13" w:rsidRDefault="00834CA8">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、《交银施罗德丰盈收益债券型证券投资基金基金合同》；</w:t>
      </w:r>
      <w:r>
        <w:rPr>
          <w:rFonts w:eastAsiaTheme="minorEastAsia"/>
          <w:color w:val="000000"/>
          <w:sz w:val="24"/>
        </w:rPr>
        <w:t xml:space="preserve"> </w:t>
      </w:r>
    </w:p>
    <w:p w:rsidR="008B3D13" w:rsidRDefault="00834CA8">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、《交银施罗德丰盈收益债券型证券投资基金招募说明书》；</w:t>
      </w:r>
      <w:r>
        <w:rPr>
          <w:rFonts w:eastAsiaTheme="minorEastAsia"/>
          <w:color w:val="000000"/>
          <w:sz w:val="24"/>
        </w:rPr>
        <w:t xml:space="preserve"> </w:t>
      </w:r>
    </w:p>
    <w:p w:rsidR="008B3D13" w:rsidRDefault="00834CA8">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、《交银施罗德丰盈收益债券型证券投资基金托管协议》；</w:t>
      </w:r>
      <w:r>
        <w:rPr>
          <w:rFonts w:eastAsiaTheme="minorEastAsia"/>
          <w:color w:val="000000"/>
          <w:sz w:val="24"/>
        </w:rPr>
        <w:t xml:space="preserve"> </w:t>
      </w:r>
    </w:p>
    <w:p w:rsidR="008B3D13" w:rsidRDefault="00834CA8">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、关于申请募集注册交银施罗德丰盈收益债券型证券投资基金的法律意见书；</w:t>
      </w:r>
      <w:r>
        <w:rPr>
          <w:rFonts w:eastAsiaTheme="minorEastAsia"/>
          <w:color w:val="000000"/>
          <w:sz w:val="24"/>
        </w:rPr>
        <w:t xml:space="preserve"> </w:t>
      </w:r>
    </w:p>
    <w:p w:rsidR="008B3D13" w:rsidRDefault="00834CA8">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8B3D13" w:rsidRDefault="00834CA8">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、报告期内交银施罗德丰盈收益债券型证券投资基金在指定报刊上各项公告的原稿。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8B3D13" w:rsidRDefault="00834CA8">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963" w:rsidRDefault="006A0963">
      <w:r>
        <w:separator/>
      </w:r>
    </w:p>
  </w:endnote>
  <w:endnote w:type="continuationSeparator" w:id="0">
    <w:p w:rsidR="006A0963" w:rsidRDefault="006A0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834CA8">
      <w:rPr>
        <w:noProof/>
        <w:kern w:val="0"/>
        <w:szCs w:val="21"/>
      </w:rPr>
      <w:t>2</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834CA8">
      <w:rPr>
        <w:noProof/>
        <w:kern w:val="0"/>
        <w:szCs w:val="21"/>
      </w:rPr>
      <w:t>15</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963" w:rsidRDefault="006A0963">
      <w:r>
        <w:separator/>
      </w:r>
    </w:p>
  </w:footnote>
  <w:footnote w:type="continuationSeparator" w:id="0">
    <w:p w:rsidR="006A0963" w:rsidRDefault="006A09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交银施罗德丰盈收益债券型证券投资基金</w:t>
    </w:r>
    <w:r w:rsidRPr="00D3445F">
      <w:rPr>
        <w:rFonts w:eastAsiaTheme="minorEastAsia"/>
        <w:sz w:val="24"/>
      </w:rPr>
      <w:t>2019</w:t>
    </w:r>
    <w:r w:rsidRPr="00D3445F">
      <w:rPr>
        <w:rFonts w:eastAsiaTheme="minorEastAsia"/>
        <w:sz w:val="24"/>
      </w:rPr>
      <w:t>年第</w:t>
    </w:r>
    <w:r w:rsidRPr="00D3445F">
      <w:rPr>
        <w:rFonts w:eastAsiaTheme="minorEastAsia"/>
        <w:sz w:val="24"/>
      </w:rPr>
      <w:t>4</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4CA8"/>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13"/>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0F5CA-5E83-4185-8C8F-A031FADF1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251</TotalTime>
  <Pages>15</Pages>
  <Words>1403</Words>
  <Characters>8000</Characters>
  <Application>Microsoft Office Word</Application>
  <DocSecurity>0</DocSecurity>
  <Lines>66</Lines>
  <Paragraphs>18</Paragraphs>
  <ScaleCrop>false</ScaleCrop>
  <Company>TRT. Ltd. Co.</Company>
  <LinksUpToDate>false</LinksUpToDate>
  <CharactersWithSpaces>9385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biz-chenhaibin</cp:lastModifiedBy>
  <cp:revision>404</cp:revision>
  <cp:lastPrinted>2007-07-19T00:46:00Z</cp:lastPrinted>
  <dcterms:created xsi:type="dcterms:W3CDTF">2014-01-17T06:19:00Z</dcterms:created>
  <dcterms:modified xsi:type="dcterms:W3CDTF">2020-01-09T13:13:00Z</dcterms:modified>
</cp:coreProperties>
</file>