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中国农业银行股份有限公司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418,813,925.12</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交银多策略回报灵活配置混合C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519755</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519761</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295,904,611.92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122,909,313.20</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交银多策略回报灵活配置混合A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交银多策略回报灵活配置混合C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6,062,968.81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3,061,281.11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11,038,756.26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5,485,501.71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0.0416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0.0400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387,253,358.91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161,327,602.01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1.309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1.313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注：1、上述基金A类业绩指标不包括持有人认购或交易基金的各项费用，计入费用后的实际收益水平要低于所列数字；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交银多策略回报灵活配置混合A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3.31%</w:t>
            </w:r>
          </w:p>
        </w:tc>
        <w:tc>
          <w:tcPr>
            <w:vAlign w:val="center"/>
          </w:tcPr>
          <w:p>
            <w:pPr>
              <w:jc w:val="center"/>
            </w:pPr>
            <w:r>
              <w:rPr>
                <w:color w:val="000000"/>
                <w:sz w:val="24"/>
              </w:rPr>
              <w:t>0.16%</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-0.68%</w:t>
            </w:r>
          </w:p>
        </w:tc>
        <w:tc>
          <w:tcPr>
            <w:vAlign w:val="center"/>
          </w:tcPr>
          <w:p>
            <w:pPr>
              <w:jc w:val="center"/>
            </w:pPr>
            <w:r>
              <w:rPr>
                <w:color w:val="000000"/>
                <w:sz w:val="24"/>
              </w:rPr>
              <w:t>-0.21%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交银多策略回报灵活配置混合C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3.22%</w:t>
            </w:r>
          </w:p>
        </w:tc>
        <w:tc>
          <w:tcPr>
            <w:vAlign w:val="center"/>
          </w:tcPr>
          <w:p>
            <w:pPr>
              <w:jc w:val="center"/>
            </w:pPr>
            <w:r>
              <w:rPr>
                <w:color w:val="000000"/>
                <w:sz w:val="24"/>
              </w:rPr>
              <w:t>0.16%</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-0.77%</w:t>
            </w:r>
          </w:p>
        </w:tc>
        <w:tc>
          <w:tcPr>
            <w:vAlign w:val="center"/>
          </w:tcPr>
          <w:p>
            <w:pPr>
              <w:jc w:val="center"/>
            </w:pPr>
            <w:r>
              <w:rPr>
                <w:color w:val="000000"/>
                <w:sz w:val="24"/>
              </w:rPr>
              <w:t>-0.21%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交银施罗德多策略回报灵活配置混合型证券投资基金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2015年6月2日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注：图示日期为2015年6月2日至2019年12月31日。本基金建仓期为自基金合同生效日起的6个月。截至建仓期结束，本基金各项资产配置比例符合基金合同及招募说明书有关投资比例的约定。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交银多策略回报灵活配置混合C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注：本基金自2015年11月19日起，开始销售C类份额，投资者提交的申购申请于2015年11月20日被确认并将有效份额登记在册。图示日期为2015年11月20日至2019年12月31日。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rPr>
      </w:pPr>
      <w:r>
        <w:rPr>
          <w:color w:val="000000"/>
          <w:sz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rPr>
      </w:pPr>
      <w:r>
        <w:rPr>
          <w:color w:val="000000"/>
          <w:sz w:val="24"/>
        </w:rPr>
        <w:t>在基金操作中，对于债券部分我们维持中短久期高等级信用债的底仓配置，以获取稳定的票息收益。权益方面，组合秉承稳健收益的原则，以低估值高股息品种为主，并适当增加小仓位科技品种。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100,037,974.82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17.65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100,037,974.82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17.65</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449,041,522.10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449,041,522.10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79.24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5,184,491.88</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0.91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12,428,334.68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2.19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566,692,323.48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2,681,217.00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0.49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18,333,518.66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3.34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2,737,020.00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0.50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1,788,210.00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2,809,143.00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0.51</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4,859,177.15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0.89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48,236,449.23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8.79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18,586,661.74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3.39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6,578.04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100,037,974.82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18.24</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4,354,333</w:t>
            </w:r>
          </w:p>
        </w:tc>
        <w:tc>
          <w:tcPr>
            <w:vAlign w:val="center"/>
          </w:tcPr>
          <w:p>
            <w:pPr>
              <w:jc w:val="right"/>
            </w:pPr>
            <w:r>
              <w:rPr>
                <w:color w:val="000000"/>
                <w:sz w:val="24"/>
              </w:rPr>
              <w:t>25,603,478.04</w:t>
            </w:r>
          </w:p>
        </w:tc>
        <w:tc>
          <w:tcPr>
            <w:vAlign w:val="center"/>
          </w:tcPr>
          <w:p>
            <w:pPr>
              <w:jc w:val="right"/>
            </w:pPr>
            <w:r>
              <w:rPr>
                <w:color w:val="000000"/>
                <w:sz w:val="24"/>
              </w:rPr>
              <w:t>4.67</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1,148,743</w:t>
            </w:r>
          </w:p>
        </w:tc>
        <w:tc>
          <w:tcPr>
            <w:vAlign w:val="center"/>
          </w:tcPr>
          <w:p>
            <w:pPr>
              <w:jc w:val="right"/>
            </w:pPr>
            <w:r>
              <w:rPr>
                <w:color w:val="000000"/>
                <w:sz w:val="24"/>
              </w:rPr>
              <w:t>18,586,661.74</w:t>
            </w:r>
          </w:p>
        </w:tc>
        <w:tc>
          <w:tcPr>
            <w:vAlign w:val="center"/>
          </w:tcPr>
          <w:p>
            <w:pPr>
              <w:jc w:val="right"/>
            </w:pPr>
            <w:r>
              <w:rPr>
                <w:color w:val="000000"/>
                <w:sz w:val="24"/>
              </w:rPr>
              <w:t>3.39</w:t>
            </w:r>
          </w:p>
        </w:tc>
      </w:tr>
      <w:tr>
        <w:tc>
          <w:tcPr>
            <w:vAlign w:val="center"/>
          </w:tcPr>
          <w:p>
            <w:pPr>
              <w:jc w:val="center"/>
            </w:pPr>
            <w:r>
              <w:rPr>
                <w:color w:val="000000"/>
                <w:sz w:val="24"/>
              </w:rPr>
              <w:t>3</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258,800</w:t>
            </w:r>
          </w:p>
        </w:tc>
        <w:tc>
          <w:tcPr>
            <w:vAlign w:val="center"/>
          </w:tcPr>
          <w:p>
            <w:pPr>
              <w:jc w:val="right"/>
            </w:pPr>
            <w:r>
              <w:rPr>
                <w:color w:val="000000"/>
                <w:sz w:val="24"/>
              </w:rPr>
              <w:t>12,720,020.00</w:t>
            </w:r>
          </w:p>
        </w:tc>
        <w:tc>
          <w:tcPr>
            <w:vAlign w:val="center"/>
          </w:tcPr>
          <w:p>
            <w:pPr>
              <w:jc w:val="right"/>
            </w:pPr>
            <w:r>
              <w:rPr>
                <w:color w:val="000000"/>
                <w:sz w:val="24"/>
              </w:rPr>
              <w:t>2.32</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200,000</w:t>
            </w:r>
          </w:p>
        </w:tc>
        <w:tc>
          <w:tcPr>
            <w:vAlign w:val="center"/>
          </w:tcPr>
          <w:p>
            <w:pPr>
              <w:jc w:val="right"/>
            </w:pPr>
            <w:r>
              <w:rPr>
                <w:color w:val="000000"/>
                <w:sz w:val="24"/>
              </w:rPr>
              <w:t>5,262,000.00</w:t>
            </w:r>
          </w:p>
        </w:tc>
        <w:tc>
          <w:tcPr>
            <w:vAlign w:val="center"/>
          </w:tcPr>
          <w:p>
            <w:pPr>
              <w:jc w:val="right"/>
            </w:pPr>
            <w:r>
              <w:rPr>
                <w:color w:val="000000"/>
                <w:sz w:val="24"/>
              </w:rPr>
              <w:t>0.96</w:t>
            </w:r>
          </w:p>
        </w:tc>
      </w:tr>
      <w:tr>
        <w:tc>
          <w:tcPr>
            <w:vAlign w:val="center"/>
          </w:tcPr>
          <w:p>
            <w:pPr>
              <w:jc w:val="center"/>
            </w:pPr>
            <w:r>
              <w:rPr>
                <w:color w:val="000000"/>
                <w:sz w:val="24"/>
              </w:rPr>
              <w:t>5</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148,300</w:t>
            </w:r>
          </w:p>
        </w:tc>
        <w:tc>
          <w:tcPr>
            <w:vAlign w:val="center"/>
          </w:tcPr>
          <w:p>
            <w:pPr>
              <w:jc w:val="right"/>
            </w:pPr>
            <w:r>
              <w:rPr>
                <w:color w:val="000000"/>
                <w:sz w:val="24"/>
              </w:rPr>
              <w:t>5,171,221.00</w:t>
            </w:r>
          </w:p>
        </w:tc>
        <w:tc>
          <w:tcPr>
            <w:vAlign w:val="center"/>
          </w:tcPr>
          <w:p>
            <w:pPr>
              <w:jc w:val="right"/>
            </w:pPr>
            <w:r>
              <w:rPr>
                <w:color w:val="000000"/>
                <w:sz w:val="24"/>
              </w:rPr>
              <w:t>0.94</w:t>
            </w:r>
          </w:p>
        </w:tc>
      </w:tr>
      <w:tr>
        <w:tc>
          <w:tcPr>
            <w:vAlign w:val="center"/>
          </w:tcPr>
          <w:p>
            <w:pPr>
              <w:jc w:val="center"/>
            </w:pPr>
            <w:r>
              <w:rPr>
                <w:color w:val="000000"/>
                <w:sz w:val="24"/>
              </w:rPr>
              <w:t>6</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39,912</w:t>
            </w:r>
          </w:p>
        </w:tc>
        <w:tc>
          <w:tcPr>
            <w:vAlign w:val="center"/>
          </w:tcPr>
          <w:p>
            <w:pPr>
              <w:jc w:val="right"/>
            </w:pPr>
            <w:r>
              <w:rPr>
                <w:color w:val="000000"/>
                <w:sz w:val="24"/>
              </w:rPr>
              <w:t>3,569,330.16</w:t>
            </w:r>
          </w:p>
        </w:tc>
        <w:tc>
          <w:tcPr>
            <w:vAlign w:val="center"/>
          </w:tcPr>
          <w:p>
            <w:pPr>
              <w:jc w:val="right"/>
            </w:pPr>
            <w:r>
              <w:rPr>
                <w:color w:val="000000"/>
                <w:sz w:val="24"/>
              </w:rPr>
              <w:t>0.65</w:t>
            </w:r>
          </w:p>
        </w:tc>
      </w:tr>
      <w:tr>
        <w:tc>
          <w:tcPr>
            <w:vAlign w:val="center"/>
          </w:tcPr>
          <w:p>
            <w:pPr>
              <w:jc w:val="center"/>
            </w:pPr>
            <w:r>
              <w:rPr>
                <w:color w:val="000000"/>
                <w:sz w:val="24"/>
              </w:rPr>
              <w:t>7</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3,094,000.00</w:t>
            </w:r>
          </w:p>
        </w:tc>
        <w:tc>
          <w:tcPr>
            <w:vAlign w:val="center"/>
          </w:tcPr>
          <w:p>
            <w:pPr>
              <w:jc w:val="right"/>
            </w:pPr>
            <w:r>
              <w:rPr>
                <w:color w:val="000000"/>
                <w:sz w:val="24"/>
              </w:rPr>
              <w:t>0.56</w:t>
            </w:r>
          </w:p>
        </w:tc>
      </w:tr>
      <w:tr>
        <w:tc>
          <w:tcPr>
            <w:vAlign w:val="center"/>
          </w:tcPr>
          <w:p>
            <w:pPr>
              <w:jc w:val="center"/>
            </w:pPr>
            <w:r>
              <w:rPr>
                <w:color w:val="000000"/>
                <w:sz w:val="24"/>
              </w:rPr>
              <w:t>8</w:t>
            </w:r>
          </w:p>
        </w:tc>
        <w:tc>
          <w:tcPr>
            <w:vAlign w:val="center"/>
          </w:tcPr>
          <w:p>
            <w:pPr>
              <w:jc w:val="center"/>
            </w:pPr>
            <w:r>
              <w:rPr>
                <w:color w:val="000000"/>
                <w:sz w:val="24"/>
              </w:rPr>
              <w:t>600258</w:t>
            </w:r>
          </w:p>
        </w:tc>
        <w:tc>
          <w:tcPr>
            <w:vAlign w:val="center"/>
          </w:tcPr>
          <w:p>
            <w:pPr>
              <w:jc w:val="center"/>
            </w:pPr>
            <w:r>
              <w:rPr>
                <w:color w:val="000000"/>
                <w:sz w:val="24"/>
              </w:rPr>
              <w:t>首旅酒店</w:t>
            </w:r>
          </w:p>
        </w:tc>
        <w:tc>
          <w:tcPr>
            <w:vAlign w:val="center"/>
          </w:tcPr>
          <w:p>
            <w:pPr>
              <w:jc w:val="right"/>
            </w:pPr>
            <w:r>
              <w:rPr>
                <w:color w:val="000000"/>
                <w:sz w:val="24"/>
              </w:rPr>
              <w:t>136,300</w:t>
            </w:r>
          </w:p>
        </w:tc>
        <w:tc>
          <w:tcPr>
            <w:vAlign w:val="center"/>
          </w:tcPr>
          <w:p>
            <w:pPr>
              <w:jc w:val="right"/>
            </w:pPr>
            <w:r>
              <w:rPr>
                <w:color w:val="000000"/>
                <w:sz w:val="24"/>
              </w:rPr>
              <w:t>2,809,143.00</w:t>
            </w:r>
          </w:p>
        </w:tc>
        <w:tc>
          <w:tcPr>
            <w:vAlign w:val="center"/>
          </w:tcPr>
          <w:p>
            <w:pPr>
              <w:jc w:val="right"/>
            </w:pPr>
            <w:r>
              <w:rPr>
                <w:color w:val="000000"/>
                <w:sz w:val="24"/>
              </w:rPr>
              <w:t>0.51</w:t>
            </w:r>
          </w:p>
        </w:tc>
      </w:tr>
      <w:tr>
        <w:tc>
          <w:tcPr>
            <w:vAlign w:val="center"/>
          </w:tcPr>
          <w:p>
            <w:pPr>
              <w:jc w:val="center"/>
            </w:pPr>
            <w:r>
              <w:rPr>
                <w:color w:val="000000"/>
                <w:sz w:val="24"/>
              </w:rPr>
              <w:t>9</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363,000</w:t>
            </w:r>
          </w:p>
        </w:tc>
        <w:tc>
          <w:tcPr>
            <w:vAlign w:val="center"/>
          </w:tcPr>
          <w:p>
            <w:pPr>
              <w:jc w:val="right"/>
            </w:pPr>
            <w:r>
              <w:rPr>
                <w:color w:val="000000"/>
                <w:sz w:val="24"/>
              </w:rPr>
              <w:t>2,737,020.00</w:t>
            </w:r>
          </w:p>
        </w:tc>
        <w:tc>
          <w:tcPr>
            <w:vAlign w:val="center"/>
          </w:tcPr>
          <w:p>
            <w:pPr>
              <w:jc w:val="right"/>
            </w:pPr>
            <w:r>
              <w:rPr>
                <w:color w:val="000000"/>
                <w:sz w:val="24"/>
              </w:rPr>
              <w:t>0.50</w:t>
            </w:r>
          </w:p>
        </w:tc>
      </w:tr>
      <w:tr>
        <w:tc>
          <w:tcPr>
            <w:vAlign w:val="center"/>
          </w:tcPr>
          <w:p>
            <w:pPr>
              <w:jc w:val="center"/>
            </w:pPr>
            <w:r>
              <w:rPr>
                <w:color w:val="000000"/>
                <w:sz w:val="24"/>
              </w:rPr>
              <w:t>10</w:t>
            </w:r>
          </w:p>
        </w:tc>
        <w:tc>
          <w:tcPr>
            <w:vAlign w:val="center"/>
          </w:tcPr>
          <w:p>
            <w:pPr>
              <w:jc w:val="center"/>
            </w:pPr>
            <w:r>
              <w:rPr>
                <w:color w:val="000000"/>
                <w:sz w:val="24"/>
              </w:rPr>
              <w:t>002555</w:t>
            </w:r>
          </w:p>
        </w:tc>
        <w:tc>
          <w:tcPr>
            <w:vAlign w:val="center"/>
          </w:tcPr>
          <w:p>
            <w:pPr>
              <w:jc w:val="center"/>
            </w:pPr>
            <w:r>
              <w:rPr>
                <w:color w:val="000000"/>
                <w:sz w:val="24"/>
              </w:rPr>
              <w:t>三七互娱</w:t>
            </w:r>
          </w:p>
        </w:tc>
        <w:tc>
          <w:tcPr>
            <w:vAlign w:val="center"/>
          </w:tcPr>
          <w:p>
            <w:pPr>
              <w:jc w:val="right"/>
            </w:pPr>
            <w:r>
              <w:rPr>
                <w:color w:val="000000"/>
                <w:sz w:val="24"/>
              </w:rPr>
              <w:t>100,000</w:t>
            </w:r>
          </w:p>
        </w:tc>
        <w:tc>
          <w:tcPr>
            <w:vAlign w:val="center"/>
          </w:tcPr>
          <w:p>
            <w:pPr>
              <w:jc w:val="right"/>
            </w:pPr>
            <w:r>
              <w:rPr>
                <w:color w:val="000000"/>
                <w:sz w:val="24"/>
              </w:rPr>
              <w:t>2,693,000.00</w:t>
            </w:r>
          </w:p>
        </w:tc>
        <w:tc>
          <w:tcPr>
            <w:vAlign w:val="center"/>
          </w:tcPr>
          <w:p>
            <w:pPr>
              <w:jc w:val="right"/>
            </w:pPr>
            <w:r>
              <w:rPr>
                <w:color w:val="000000"/>
                <w:sz w:val="24"/>
              </w:rPr>
              <w:t>0.49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34,553,991.20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6.30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34,553,991.20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6.30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247,906,200.00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45.19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20,092,000.00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3.66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141,820,000.00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25.85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4,669,330.90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0.85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449,041,522.10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81.86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241,000</w:t>
            </w:r>
          </w:p>
        </w:tc>
        <w:tc>
          <w:tcPr>
            <w:vAlign w:val="center"/>
          </w:tcPr>
          <w:p>
            <w:pPr>
              <w:jc w:val="right"/>
            </w:pPr>
            <w:r>
              <w:rPr>
                <w:color w:val="000000"/>
                <w:sz w:val="24"/>
              </w:rPr>
              <w:t>24,280,750.00</w:t>
            </w:r>
          </w:p>
        </w:tc>
        <w:tc>
          <w:tcPr>
            <w:vAlign w:val="center"/>
          </w:tcPr>
          <w:p>
            <w:pPr>
              <w:jc w:val="right"/>
            </w:pPr>
            <w:r>
              <w:rPr>
                <w:color w:val="000000"/>
                <w:sz w:val="24"/>
              </w:rPr>
              <w:t>4.43</w:t>
            </w:r>
          </w:p>
        </w:tc>
      </w:tr>
      <w:tr>
        <w:tc>
          <w:tcPr>
            <w:vAlign w:val="center"/>
          </w:tcPr>
          <w:p>
            <w:pPr>
              <w:jc w:val="center"/>
            </w:pPr>
            <w:r>
              <w:rPr>
                <w:color w:val="000000"/>
                <w:sz w:val="24"/>
              </w:rPr>
              <w:t>2</w:t>
            </w:r>
          </w:p>
        </w:tc>
        <w:tc>
          <w:tcPr>
            <w:vAlign w:val="center"/>
          </w:tcPr>
          <w:p>
            <w:pPr>
              <w:jc w:val="center"/>
            </w:pPr>
            <w:r>
              <w:rPr>
                <w:color w:val="000000"/>
                <w:sz w:val="24"/>
              </w:rPr>
              <w:t>143662</w:t>
            </w:r>
          </w:p>
        </w:tc>
        <w:tc>
          <w:tcPr>
            <w:vAlign w:val="center"/>
          </w:tcPr>
          <w:p>
            <w:pPr>
              <w:jc w:val="center"/>
            </w:pPr>
            <w:r>
              <w:rPr>
                <w:color w:val="000000"/>
                <w:sz w:val="24"/>
              </w:rPr>
              <w:t>18国电02</w:t>
            </w:r>
          </w:p>
        </w:tc>
        <w:tc>
          <w:tcPr>
            <w:vAlign w:val="center"/>
          </w:tcPr>
          <w:p>
            <w:pPr>
              <w:jc w:val="right"/>
            </w:pPr>
            <w:r>
              <w:rPr>
                <w:color w:val="000000"/>
                <w:sz w:val="24"/>
              </w:rPr>
              <w:t>200,000</w:t>
            </w:r>
          </w:p>
        </w:tc>
        <w:tc>
          <w:tcPr>
            <w:vAlign w:val="center"/>
          </w:tcPr>
          <w:p>
            <w:pPr>
              <w:jc w:val="right"/>
            </w:pPr>
            <w:r>
              <w:rPr>
                <w:color w:val="000000"/>
                <w:sz w:val="24"/>
              </w:rPr>
              <w:t>20,398,000.00</w:t>
            </w:r>
          </w:p>
        </w:tc>
        <w:tc>
          <w:tcPr>
            <w:vAlign w:val="center"/>
          </w:tcPr>
          <w:p>
            <w:pPr>
              <w:jc w:val="right"/>
            </w:pPr>
            <w:r>
              <w:rPr>
                <w:color w:val="000000"/>
                <w:sz w:val="24"/>
              </w:rPr>
              <w:t>3.72</w:t>
            </w:r>
          </w:p>
        </w:tc>
      </w:tr>
      <w:tr>
        <w:tc>
          <w:tcPr>
            <w:vAlign w:val="center"/>
          </w:tcPr>
          <w:p>
            <w:pPr>
              <w:jc w:val="center"/>
            </w:pPr>
            <w:r>
              <w:rPr>
                <w:color w:val="000000"/>
                <w:sz w:val="24"/>
              </w:rPr>
              <w:t>3</w:t>
            </w:r>
          </w:p>
        </w:tc>
        <w:tc>
          <w:tcPr>
            <w:vAlign w:val="center"/>
          </w:tcPr>
          <w:p>
            <w:pPr>
              <w:jc w:val="center"/>
            </w:pPr>
            <w:r>
              <w:rPr>
                <w:color w:val="000000"/>
                <w:sz w:val="24"/>
              </w:rPr>
              <w:t>143725</w:t>
            </w:r>
          </w:p>
        </w:tc>
        <w:tc>
          <w:tcPr>
            <w:vAlign w:val="center"/>
          </w:tcPr>
          <w:p>
            <w:pPr>
              <w:jc w:val="center"/>
            </w:pPr>
            <w:r>
              <w:rPr>
                <w:color w:val="000000"/>
                <w:sz w:val="24"/>
              </w:rPr>
              <w:t>18光明01</w:t>
            </w:r>
          </w:p>
        </w:tc>
        <w:tc>
          <w:tcPr>
            <w:vAlign w:val="center"/>
          </w:tcPr>
          <w:p>
            <w:pPr>
              <w:jc w:val="right"/>
            </w:pPr>
            <w:r>
              <w:rPr>
                <w:color w:val="000000"/>
                <w:sz w:val="24"/>
              </w:rPr>
              <w:t>200,000</w:t>
            </w:r>
          </w:p>
        </w:tc>
        <w:tc>
          <w:tcPr>
            <w:vAlign w:val="center"/>
          </w:tcPr>
          <w:p>
            <w:pPr>
              <w:jc w:val="right"/>
            </w:pPr>
            <w:r>
              <w:rPr>
                <w:color w:val="000000"/>
                <w:sz w:val="24"/>
              </w:rPr>
              <w:t>20,342,000.00</w:t>
            </w:r>
          </w:p>
        </w:tc>
        <w:tc>
          <w:tcPr>
            <w:vAlign w:val="center"/>
          </w:tcPr>
          <w:p>
            <w:pPr>
              <w:jc w:val="right"/>
            </w:pPr>
            <w:r>
              <w:rPr>
                <w:color w:val="000000"/>
                <w:sz w:val="24"/>
              </w:rPr>
              <w:t>3.71</w:t>
            </w:r>
          </w:p>
        </w:tc>
      </w:tr>
      <w:tr>
        <w:tc>
          <w:tcPr>
            <w:vAlign w:val="center"/>
          </w:tcPr>
          <w:p>
            <w:pPr>
              <w:jc w:val="center"/>
            </w:pPr>
            <w:r>
              <w:rPr>
                <w:color w:val="000000"/>
                <w:sz w:val="24"/>
              </w:rPr>
              <w:t>4</w:t>
            </w:r>
          </w:p>
        </w:tc>
        <w:tc>
          <w:tcPr>
            <w:vAlign w:val="center"/>
          </w:tcPr>
          <w:p>
            <w:pPr>
              <w:jc w:val="center"/>
            </w:pPr>
            <w:r>
              <w:rPr>
                <w:color w:val="000000"/>
                <w:sz w:val="24"/>
              </w:rPr>
              <w:t>101801174</w:t>
            </w:r>
          </w:p>
        </w:tc>
        <w:tc>
          <w:tcPr>
            <w:vAlign w:val="center"/>
          </w:tcPr>
          <w:p>
            <w:pPr>
              <w:jc w:val="center"/>
            </w:pPr>
            <w:r>
              <w:rPr>
                <w:color w:val="000000"/>
                <w:sz w:val="24"/>
              </w:rPr>
              <w:t>18光大集团MTN001</w:t>
            </w:r>
          </w:p>
        </w:tc>
        <w:tc>
          <w:tcPr>
            <w:vAlign w:val="center"/>
          </w:tcPr>
          <w:p>
            <w:pPr>
              <w:jc w:val="right"/>
            </w:pPr>
            <w:r>
              <w:rPr>
                <w:color w:val="000000"/>
                <w:sz w:val="24"/>
              </w:rPr>
              <w:t>200,000</w:t>
            </w:r>
          </w:p>
        </w:tc>
        <w:tc>
          <w:tcPr>
            <w:vAlign w:val="center"/>
          </w:tcPr>
          <w:p>
            <w:pPr>
              <w:jc w:val="right"/>
            </w:pPr>
            <w:r>
              <w:rPr>
                <w:color w:val="000000"/>
                <w:sz w:val="24"/>
              </w:rPr>
              <w:t>20,282,000.00</w:t>
            </w:r>
          </w:p>
        </w:tc>
        <w:tc>
          <w:tcPr>
            <w:vAlign w:val="center"/>
          </w:tcPr>
          <w:p>
            <w:pPr>
              <w:jc w:val="right"/>
            </w:pPr>
            <w:r>
              <w:rPr>
                <w:color w:val="000000"/>
                <w:sz w:val="24"/>
              </w:rPr>
              <w:t>3.70</w:t>
            </w:r>
          </w:p>
        </w:tc>
      </w:tr>
      <w:tr>
        <w:tc>
          <w:tcPr>
            <w:vAlign w:val="center"/>
          </w:tcPr>
          <w:p>
            <w:pPr>
              <w:jc w:val="center"/>
            </w:pPr>
            <w:r>
              <w:rPr>
                <w:color w:val="000000"/>
                <w:sz w:val="24"/>
              </w:rPr>
              <w:t>5</w:t>
            </w:r>
          </w:p>
        </w:tc>
        <w:tc>
          <w:tcPr>
            <w:vAlign w:val="center"/>
          </w:tcPr>
          <w:p>
            <w:pPr>
              <w:jc w:val="center"/>
            </w:pPr>
            <w:r>
              <w:rPr>
                <w:color w:val="000000"/>
                <w:sz w:val="24"/>
              </w:rPr>
              <w:t>101554029</w:t>
            </w:r>
          </w:p>
        </w:tc>
        <w:tc>
          <w:tcPr>
            <w:vAlign w:val="center"/>
          </w:tcPr>
          <w:p>
            <w:pPr>
              <w:jc w:val="center"/>
            </w:pPr>
            <w:r>
              <w:rPr>
                <w:color w:val="000000"/>
                <w:sz w:val="24"/>
              </w:rPr>
              <w:t>15穗地铁MTN001</w:t>
            </w:r>
          </w:p>
        </w:tc>
        <w:tc>
          <w:tcPr>
            <w:vAlign w:val="center"/>
          </w:tcPr>
          <w:p>
            <w:pPr>
              <w:jc w:val="right"/>
            </w:pPr>
            <w:r>
              <w:rPr>
                <w:color w:val="000000"/>
                <w:sz w:val="24"/>
              </w:rPr>
              <w:t>200,000</w:t>
            </w:r>
          </w:p>
        </w:tc>
        <w:tc>
          <w:tcPr>
            <w:vAlign w:val="center"/>
          </w:tcPr>
          <w:p>
            <w:pPr>
              <w:jc w:val="right"/>
            </w:pPr>
            <w:r>
              <w:rPr>
                <w:color w:val="000000"/>
                <w:sz w:val="24"/>
              </w:rPr>
              <w:t>20,208,000.00</w:t>
            </w:r>
          </w:p>
        </w:tc>
        <w:tc>
          <w:tcPr>
            <w:vAlign w:val="center"/>
          </w:tcPr>
          <w:p>
            <w:pPr>
              <w:jc w:val="right"/>
            </w:pPr>
            <w:r>
              <w:rPr>
                <w:color w:val="000000"/>
                <w:sz w:val="24"/>
              </w:rPr>
              <w:t>3.68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55,625.50</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7,702,098.71</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4,670,610.47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12,428,334.68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113021</w:t>
            </w:r>
          </w:p>
        </w:tc>
        <w:tc>
          <w:tcPr>
            <w:vAlign w:val="center"/>
          </w:tcPr>
          <w:p>
            <w:pPr>
              <w:jc w:val="center"/>
            </w:pPr>
            <w:r>
              <w:rPr>
                <w:rFonts w:eastAsiaTheme="minorEastAsia"/>
                <w:color w:val="000000"/>
                <w:sz w:val="24"/>
              </w:rPr>
              <w:t>中信转债</w:t>
            </w:r>
          </w:p>
        </w:tc>
        <w:tc>
          <w:tcPr>
            <w:vAlign w:val="center"/>
          </w:tcPr>
          <w:p>
            <w:pPr>
              <w:jc w:val="right"/>
            </w:pPr>
            <w:r>
              <w:rPr>
                <w:rFonts w:eastAsiaTheme="minorEastAsia"/>
                <w:color w:val="000000"/>
                <w:sz w:val="24"/>
              </w:rPr>
              <w:t>2,262,800.00</w:t>
            </w:r>
          </w:p>
        </w:tc>
        <w:tc>
          <w:tcPr>
            <w:vAlign w:val="center"/>
          </w:tcPr>
          <w:p>
            <w:pPr>
              <w:jc w:val="right"/>
            </w:pPr>
            <w:r>
              <w:rPr>
                <w:rFonts w:eastAsiaTheme="minorEastAsia"/>
                <w:color w:val="000000"/>
                <w:sz w:val="24"/>
              </w:rPr>
              <w:t>0.41</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交银多策略回报灵活配置混合A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交银多策略回报灵活配置混合C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238,432,679.79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137,667,378.91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79,629,389.28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7,636,014.62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22,157,457.15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22,394,080.33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295,904,611.92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122,909,313.20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1、中国证监会准予交银施罗德多策略回报灵活配置混合型证券投资基金募集注册的文件；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2、《交银施罗德多策略回报灵活配置混合型证券投资基金基金合同》；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3、《交银施罗德多策略回报灵活配置混合型证券投资基金招募说明书》；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4、《交银施罗德多策略回报灵活配置混合型证券投资基金托管协议》；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7、关于申请募集注册交银施罗德多策略回报灵活配置混合型证券投资基金的法律意见书；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8、报告期内交银施罗德多策略回报灵活配置混合型证券投资基金在指定报刊上各项公告的原稿。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