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中国建设银行股份有限公司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基金托管人中国建设银行股份有限公司根据本基金合同规定，于2020年1月20日复核了本报告中的财务指标、净值表现和投资组合报告等内容，保证复核内容不存在虚假记载、误导性陈述或者重大遗漏。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2011年9月26日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124,642,319.19</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中债综合全价指数收益率×90%+沪深300指数收益率×10%</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
            </w:r>
            <w:bookmarkStart w:id="0" w:name="_GoBack"/>
            <w:bookmarkEnd w:id="0"/>
            <w:r w:rsidRPr="007F52FA">
              <w:rPr>
                <w:color w:val="000000"/>
                <w:kern w:val="0"/>
                <w:sz w:val="24"/>
              </w:rPr>
              <w:t>中国建设银行股份有限公司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交银双利债券A/B</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交银双利债券C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519683</w:t>
            </w:r>
            <w:r w:rsidRPr="007F52FA">
              <w:rPr>
                <w:color w:themeColor="text1" w:val="000000"/>
                <w:sz w:val="24"/>
              </w:rPr>
              <w:t>（前端）、</w:t>
            </w:r>
            <w:r w:rsidRPr="007F52FA">
              <w:rPr>
                <w:color w:themeColor="text1" w:val="000000"/>
                <w:sz w:val="24"/>
              </w:rPr>
              <w:t>519684</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519685</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116,115,137.63</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8,527,181.56</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注：本基金A类基金份额采用前端收费模式，B类基金份额采用后端收费模式，前端交易代码即为A类基金份额交易代码，后端交易代码即为B类基金份额交易代码。</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(2019年10月1日-2019年12月31日)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交银双利债券A/B</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交银双利债券C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-67,744.61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-19,895.84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2,873,034.61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229,793.49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0.0265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0.0233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143,544,819.03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10,166,854.32</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1.236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1.192</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交银双利债券A/B</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2.23%</w:t>
            </w:r>
          </w:p>
        </w:tc>
        <w:tc>
          <w:tcPr>
            <w:vAlign w:val="center"/>
          </w:tcPr>
          <w:p>
            <w:pPr>
              <w:jc w:val="center"/>
            </w:pPr>
            <w:r>
              <w:rPr>
                <w:color w:val="000000"/>
                <w:sz w:val="24"/>
              </w:rPr>
              <w:t>0.25%</w:t>
            </w:r>
          </w:p>
        </w:tc>
        <w:tc>
          <w:tcPr>
            <w:vAlign w:val="center"/>
          </w:tcPr>
          <w:p>
            <w:pPr>
              <w:jc w:val="center"/>
            </w:pPr>
            <w:r>
              <w:rPr>
                <w:color w:val="000000"/>
                <w:sz w:val="24"/>
              </w:rPr>
              <w:t>1.29%</w:t>
            </w:r>
          </w:p>
        </w:tc>
        <w:tc>
          <w:tcPr>
            <w:vAlign w:val="center"/>
          </w:tcPr>
          <w:p>
            <w:pPr>
              <w:jc w:val="center"/>
            </w:pPr>
            <w:r>
              <w:rPr>
                <w:color w:val="000000"/>
                <w:sz w:val="24"/>
              </w:rPr>
              <w:t>0.08%</w:t>
            </w:r>
          </w:p>
        </w:tc>
        <w:tc>
          <w:tcPr>
            <w:vAlign w:val="center"/>
          </w:tcPr>
          <w:p>
            <w:pPr>
              <w:jc w:val="center"/>
            </w:pPr>
            <w:r>
              <w:rPr>
                <w:color w:val="000000"/>
                <w:sz w:val="24"/>
              </w:rPr>
              <w:t>0.94%</w:t>
            </w:r>
          </w:p>
        </w:tc>
        <w:tc>
          <w:tcPr>
            <w:vAlign w:val="center"/>
          </w:tcPr>
          <w:p>
            <w:pPr>
              <w:jc w:val="center"/>
            </w:pPr>
            <w:r>
              <w:rPr>
                <w:color w:val="000000"/>
                <w:sz w:val="24"/>
              </w:rPr>
              <w:t>0.17%</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交银双利债券C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2.14%</w:t>
            </w:r>
          </w:p>
        </w:tc>
        <w:tc>
          <w:tcPr>
            <w:vAlign w:val="center"/>
          </w:tcPr>
          <w:p>
            <w:pPr>
              <w:jc w:val="center"/>
            </w:pPr>
            <w:r>
              <w:rPr>
                <w:color w:val="000000"/>
                <w:sz w:val="24"/>
              </w:rPr>
              <w:t>0.26%</w:t>
            </w:r>
          </w:p>
        </w:tc>
        <w:tc>
          <w:tcPr>
            <w:vAlign w:val="center"/>
          </w:tcPr>
          <w:p>
            <w:pPr>
              <w:jc w:val="center"/>
            </w:pPr>
            <w:r>
              <w:rPr>
                <w:color w:val="000000"/>
                <w:sz w:val="24"/>
              </w:rPr>
              <w:t>1.29%</w:t>
            </w:r>
          </w:p>
        </w:tc>
        <w:tc>
          <w:tcPr>
            <w:vAlign w:val="center"/>
          </w:tcPr>
          <w:p>
            <w:pPr>
              <w:jc w:val="center"/>
            </w:pPr>
            <w:r>
              <w:rPr>
                <w:color w:val="000000"/>
                <w:sz w:val="24"/>
              </w:rPr>
              <w:t>0.08%</w:t>
            </w:r>
          </w:p>
        </w:tc>
        <w:tc>
          <w:tcPr>
            <w:vAlign w:val="center"/>
          </w:tcPr>
          <w:p>
            <w:pPr>
              <w:jc w:val="center"/>
            </w:pPr>
            <w:r>
              <w:rPr>
                <w:color w:val="000000"/>
                <w:sz w:val="24"/>
              </w:rPr>
              <w:t>0.85%</w:t>
            </w:r>
          </w:p>
        </w:tc>
        <w:tc>
          <w:tcPr>
            <w:vAlign w:val="center"/>
          </w:tcPr>
          <w:p>
            <w:pPr>
              <w:jc w:val="center"/>
            </w:pPr>
            <w:r>
              <w:rPr>
                <w:color w:val="000000"/>
                <w:sz w:val="24"/>
              </w:rPr>
              <w:t>0.18%</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交银施罗德双利债券证券投资基金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2011年9月26日</w:t>
      </w:r>
      <w:r w:rsidR="009A045B" w:rsidRPr="007F52FA">
        <w:rPr>
          <w:rFonts w:ascii="Times New Roman" w:hAnsi="Times New Roman"/>
          <w:sz w:val="24"/>
          <w:szCs w:val="24"/>
        </w:rPr>
        <w:t>至</w:t>
      </w:r>
      <w:r w:rsidRPr="007F52FA">
        <w:rPr>
          <w:rFonts w:ascii="Times New Roman" w:hAnsi="Times New Roman"/>
          <w:sz w:val="24"/>
          <w:szCs w:val="24"/>
        </w:rPr>
        <w:t>2019年12月31日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交银双利债券A/B</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交银双利债券C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唐赟</w:t>
            </w:r>
          </w:p>
        </w:tc>
        <w:tc>
          <w:tcPr>
            <w:vAlign w:val="center"/>
          </w:tcPr>
          <w:p>
            <w:pPr>
              <w:jc w:val="center"/>
            </w:pPr>
            <w:r>
              <w:rPr>
                <w:color w:val="000000"/>
                <w:sz w:val="24"/>
              </w:rPr>
              <w:t>交银信用添利债券(LOF)、交银双利债券、交银双轮动债券、交银荣鑫灵活配置混合的基金经理</w:t>
            </w:r>
          </w:p>
        </w:tc>
        <w:tc>
          <w:tcPr>
            <w:vAlign w:val="center"/>
          </w:tcPr>
          <w:p>
            <w:pPr>
              <w:jc w:val="center"/>
            </w:pPr>
            <w:r>
              <w:rPr>
                <w:color w:val="000000"/>
                <w:sz w:val="24"/>
              </w:rPr>
              <w:t>2015-11-07</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2017年3月31日至2019年10月23日担任交银施罗德裕通纯债债券型证券投资基金的基金经理。2018年6月2日至2019年12月13日担任交银施罗德安心收益债券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四季度初债券收益率出现回调，中美贸易摩擦缓和、通胀上行以及金融数据超预期等利空因素集中出现，进入十一月，央行接连的降息操作超出市场预期，打消了市场对央行货币政策可能受到通胀上行影响而有所收紧的担忧，情绪开始升温，年底临近，受资金面宽松影响，债券收益率有所下行。报告期内，权益市场在贸易摩擦边际缓解等利好因素的影响下有所上涨，半导体等科技板块出现了一波明显的上涨。周期板块在四季度的表现也相对不错，新能源车、建材水泥以及工程机械等都有所表现。</w:t>
      </w:r>
    </w:p>
    <w:p>
      <w:pPr>
        <w:spacing w:before="29" w:line="288" w:lineRule="auto"/>
        <w:ind w:firstLine="480" w:firstLineChars="200"/>
        <w:rPr>
          <w:color w:val="000000"/>
          <w:sz w:val="24"/>
        </w:rPr>
      </w:pPr>
      <w:r>
        <w:rPr>
          <w:color w:val="000000"/>
          <w:sz w:val="24"/>
        </w:rPr>
        <w:t>报告期内，我们相对看好权益成长板块，组合在纯债部分维持了中等久期信用债的底仓仓位，同时明显增加了股票和转债仓位，一定程度上享受到了四季度权益市场的上涨，有效增强了组合收益。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一季度，经济基本面下行压力仍然存在，经济内生企稳动力不强，同时担心通胀在一季度上行压力会边际掣肘货币政策宽松。因此，我们认为一季度债券市场或以震荡为主。基金策略方面，我们将视融资成本及市场收益率变动情况择机做长端利率波段，以提升基金静态收益。权益方面，我们将继续维持以绝对收益为主的操作策略，密切关注市场的走势变化，精选景气改善的行业与个股，以期增强基金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22,544,338.85</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11.47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22,544,338.85</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11.47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133,930,780.62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68.14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133,930,780.62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68.14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3,784,729.48</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1.93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36,291,567.34</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18.46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196,551,416.29</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18,169,194.75</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11.82</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4,375,144.10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2.85</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22,544,338.85</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14.67</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600801</w:t>
            </w:r>
          </w:p>
        </w:tc>
        <w:tc>
          <w:tcPr>
            <w:vAlign w:val="center"/>
          </w:tcPr>
          <w:p>
            <w:pPr>
              <w:jc w:val="center"/>
            </w:pPr>
            <w:r>
              <w:rPr>
                <w:color w:val="000000"/>
                <w:sz w:val="24"/>
              </w:rPr>
              <w:t>华新水泥</w:t>
            </w:r>
          </w:p>
        </w:tc>
        <w:tc>
          <w:tcPr>
            <w:vAlign w:val="center"/>
          </w:tcPr>
          <w:p>
            <w:pPr>
              <w:jc w:val="right"/>
            </w:pPr>
            <w:r>
              <w:rPr>
                <w:color w:val="000000"/>
                <w:sz w:val="24"/>
              </w:rPr>
              <w:t>122,600</w:t>
            </w:r>
          </w:p>
        </w:tc>
        <w:tc>
          <w:tcPr>
            <w:vAlign w:val="center"/>
          </w:tcPr>
          <w:p>
            <w:pPr>
              <w:jc w:val="right"/>
            </w:pPr>
            <w:r>
              <w:rPr>
                <w:color w:val="000000"/>
                <w:sz w:val="24"/>
              </w:rPr>
              <w:t>3,240,318.00</w:t>
            </w:r>
          </w:p>
        </w:tc>
        <w:tc>
          <w:tcPr>
            <w:vAlign w:val="center"/>
          </w:tcPr>
          <w:p>
            <w:pPr>
              <w:jc w:val="right"/>
            </w:pPr>
            <w:r>
              <w:rPr>
                <w:color w:val="000000"/>
                <w:sz w:val="24"/>
              </w:rPr>
              <w:t>2.11</w:t>
            </w:r>
          </w:p>
        </w:tc>
      </w:tr>
      <w:tr>
        <w:tc>
          <w:tcPr>
            <w:vAlign w:val="center"/>
          </w:tcPr>
          <w:p>
            <w:pPr>
              <w:jc w:val="center"/>
            </w:pPr>
            <w:r>
              <w:rPr>
                <w:color w:val="000000"/>
                <w:sz w:val="24"/>
              </w:rPr>
              <w:t>2</w:t>
            </w:r>
          </w:p>
        </w:tc>
        <w:tc>
          <w:tcPr>
            <w:vAlign w:val="center"/>
          </w:tcPr>
          <w:p>
            <w:pPr>
              <w:jc w:val="center"/>
            </w:pPr>
            <w:r>
              <w:rPr>
                <w:color w:val="000000"/>
                <w:sz w:val="24"/>
              </w:rPr>
              <w:t>000157</w:t>
            </w:r>
          </w:p>
        </w:tc>
        <w:tc>
          <w:tcPr>
            <w:vAlign w:val="center"/>
          </w:tcPr>
          <w:p>
            <w:pPr>
              <w:jc w:val="center"/>
            </w:pPr>
            <w:r>
              <w:rPr>
                <w:color w:val="000000"/>
                <w:sz w:val="24"/>
              </w:rPr>
              <w:t>中联重科</w:t>
            </w:r>
          </w:p>
        </w:tc>
        <w:tc>
          <w:tcPr>
            <w:vAlign w:val="center"/>
          </w:tcPr>
          <w:p>
            <w:pPr>
              <w:jc w:val="right"/>
            </w:pPr>
            <w:r>
              <w:rPr>
                <w:color w:val="000000"/>
                <w:sz w:val="24"/>
              </w:rPr>
              <w:t>379,100</w:t>
            </w:r>
          </w:p>
        </w:tc>
        <w:tc>
          <w:tcPr>
            <w:vAlign w:val="center"/>
          </w:tcPr>
          <w:p>
            <w:pPr>
              <w:jc w:val="right"/>
            </w:pPr>
            <w:r>
              <w:rPr>
                <w:color w:val="000000"/>
                <w:sz w:val="24"/>
              </w:rPr>
              <w:t>2,532,388.00</w:t>
            </w:r>
          </w:p>
        </w:tc>
        <w:tc>
          <w:tcPr>
            <w:vAlign w:val="center"/>
          </w:tcPr>
          <w:p>
            <w:pPr>
              <w:jc w:val="right"/>
            </w:pPr>
            <w:r>
              <w:rPr>
                <w:color w:val="000000"/>
                <w:sz w:val="24"/>
              </w:rPr>
              <w:t>1.65</w:t>
            </w:r>
          </w:p>
        </w:tc>
      </w:tr>
      <w:tr>
        <w:tc>
          <w:tcPr>
            <w:vAlign w:val="center"/>
          </w:tcPr>
          <w:p>
            <w:pPr>
              <w:jc w:val="center"/>
            </w:pPr>
            <w:r>
              <w:rPr>
                <w:color w:val="000000"/>
                <w:sz w:val="24"/>
              </w:rPr>
              <w:t>3</w:t>
            </w:r>
          </w:p>
        </w:tc>
        <w:tc>
          <w:tcPr>
            <w:vAlign w:val="center"/>
          </w:tcPr>
          <w:p>
            <w:pPr>
              <w:jc w:val="center"/>
            </w:pPr>
            <w:r>
              <w:rPr>
                <w:color w:val="000000"/>
                <w:sz w:val="24"/>
              </w:rPr>
              <w:t>002624</w:t>
            </w:r>
          </w:p>
        </w:tc>
        <w:tc>
          <w:tcPr>
            <w:vAlign w:val="center"/>
          </w:tcPr>
          <w:p>
            <w:pPr>
              <w:jc w:val="center"/>
            </w:pPr>
            <w:r>
              <w:rPr>
                <w:color w:val="000000"/>
                <w:sz w:val="24"/>
              </w:rPr>
              <w:t>完美世界</w:t>
            </w:r>
          </w:p>
        </w:tc>
        <w:tc>
          <w:tcPr>
            <w:vAlign w:val="center"/>
          </w:tcPr>
          <w:p>
            <w:pPr>
              <w:jc w:val="right"/>
            </w:pPr>
            <w:r>
              <w:rPr>
                <w:color w:val="000000"/>
                <w:sz w:val="24"/>
              </w:rPr>
              <w:t>37,115</w:t>
            </w:r>
          </w:p>
        </w:tc>
        <w:tc>
          <w:tcPr>
            <w:vAlign w:val="center"/>
          </w:tcPr>
          <w:p>
            <w:pPr>
              <w:jc w:val="right"/>
            </w:pPr>
            <w:r>
              <w:rPr>
                <w:color w:val="000000"/>
                <w:sz w:val="24"/>
              </w:rPr>
              <w:t>1,638,256.10</w:t>
            </w:r>
          </w:p>
        </w:tc>
        <w:tc>
          <w:tcPr>
            <w:vAlign w:val="center"/>
          </w:tcPr>
          <w:p>
            <w:pPr>
              <w:jc w:val="right"/>
            </w:pPr>
            <w:r>
              <w:rPr>
                <w:color w:val="000000"/>
                <w:sz w:val="24"/>
              </w:rPr>
              <w:t>1.07</w:t>
            </w:r>
          </w:p>
        </w:tc>
      </w:tr>
      <w:tr>
        <w:tc>
          <w:tcPr>
            <w:vAlign w:val="center"/>
          </w:tcPr>
          <w:p>
            <w:pPr>
              <w:jc w:val="center"/>
            </w:pPr>
            <w:r>
              <w:rPr>
                <w:color w:val="000000"/>
                <w:sz w:val="24"/>
              </w:rPr>
              <w:t>4</w:t>
            </w:r>
          </w:p>
        </w:tc>
        <w:tc>
          <w:tcPr>
            <w:vAlign w:val="center"/>
          </w:tcPr>
          <w:p>
            <w:pPr>
              <w:jc w:val="center"/>
            </w:pPr>
            <w:r>
              <w:rPr>
                <w:color w:val="000000"/>
                <w:sz w:val="24"/>
              </w:rPr>
              <w:t>600580</w:t>
            </w:r>
          </w:p>
        </w:tc>
        <w:tc>
          <w:tcPr>
            <w:vAlign w:val="center"/>
          </w:tcPr>
          <w:p>
            <w:pPr>
              <w:jc w:val="center"/>
            </w:pPr>
            <w:r>
              <w:rPr>
                <w:color w:val="000000"/>
                <w:sz w:val="24"/>
              </w:rPr>
              <w:t>卧龙电驱</w:t>
            </w:r>
          </w:p>
        </w:tc>
        <w:tc>
          <w:tcPr>
            <w:vAlign w:val="center"/>
          </w:tcPr>
          <w:p>
            <w:pPr>
              <w:jc w:val="right"/>
            </w:pPr>
            <w:r>
              <w:rPr>
                <w:color w:val="000000"/>
                <w:sz w:val="24"/>
              </w:rPr>
              <w:t>133,500</w:t>
            </w:r>
          </w:p>
        </w:tc>
        <w:tc>
          <w:tcPr>
            <w:vAlign w:val="center"/>
          </w:tcPr>
          <w:p>
            <w:pPr>
              <w:jc w:val="right"/>
            </w:pPr>
            <w:r>
              <w:rPr>
                <w:color w:val="000000"/>
                <w:sz w:val="24"/>
              </w:rPr>
              <w:t>1,604,670.00</w:t>
            </w:r>
          </w:p>
        </w:tc>
        <w:tc>
          <w:tcPr>
            <w:vAlign w:val="center"/>
          </w:tcPr>
          <w:p>
            <w:pPr>
              <w:jc w:val="right"/>
            </w:pPr>
            <w:r>
              <w:rPr>
                <w:color w:val="000000"/>
                <w:sz w:val="24"/>
              </w:rPr>
              <w:t>1.04</w:t>
            </w:r>
          </w:p>
        </w:tc>
      </w:tr>
      <w:tr>
        <w:tc>
          <w:tcPr>
            <w:vAlign w:val="center"/>
          </w:tcPr>
          <w:p>
            <w:pPr>
              <w:jc w:val="center"/>
            </w:pPr>
            <w:r>
              <w:rPr>
                <w:color w:val="000000"/>
                <w:sz w:val="24"/>
              </w:rPr>
              <w:t>5</w:t>
            </w:r>
          </w:p>
        </w:tc>
        <w:tc>
          <w:tcPr>
            <w:vAlign w:val="center"/>
          </w:tcPr>
          <w:p>
            <w:pPr>
              <w:jc w:val="center"/>
            </w:pPr>
            <w:r>
              <w:rPr>
                <w:color w:val="000000"/>
                <w:sz w:val="24"/>
              </w:rPr>
              <w:t>300482</w:t>
            </w:r>
          </w:p>
        </w:tc>
        <w:tc>
          <w:tcPr>
            <w:vAlign w:val="center"/>
          </w:tcPr>
          <w:p>
            <w:pPr>
              <w:jc w:val="center"/>
            </w:pPr>
            <w:r>
              <w:rPr>
                <w:color w:val="000000"/>
                <w:sz w:val="24"/>
              </w:rPr>
              <w:t>万孚生物</w:t>
            </w:r>
          </w:p>
        </w:tc>
        <w:tc>
          <w:tcPr>
            <w:vAlign w:val="center"/>
          </w:tcPr>
          <w:p>
            <w:pPr>
              <w:jc w:val="right"/>
            </w:pPr>
            <w:r>
              <w:rPr>
                <w:color w:val="000000"/>
                <w:sz w:val="24"/>
              </w:rPr>
              <w:t>30,800</w:t>
            </w:r>
          </w:p>
        </w:tc>
        <w:tc>
          <w:tcPr>
            <w:vAlign w:val="center"/>
          </w:tcPr>
          <w:p>
            <w:pPr>
              <w:jc w:val="right"/>
            </w:pPr>
            <w:r>
              <w:rPr>
                <w:color w:val="000000"/>
                <w:sz w:val="24"/>
              </w:rPr>
              <w:t>1,594,516.00</w:t>
            </w:r>
          </w:p>
        </w:tc>
        <w:tc>
          <w:tcPr>
            <w:vAlign w:val="center"/>
          </w:tcPr>
          <w:p>
            <w:pPr>
              <w:jc w:val="right"/>
            </w:pPr>
            <w:r>
              <w:rPr>
                <w:color w:val="000000"/>
                <w:sz w:val="24"/>
              </w:rPr>
              <w:t>1.04</w:t>
            </w:r>
          </w:p>
        </w:tc>
      </w:tr>
      <w:tr>
        <w:tc>
          <w:tcPr>
            <w:vAlign w:val="center"/>
          </w:tcPr>
          <w:p>
            <w:pPr>
              <w:jc w:val="center"/>
            </w:pPr>
            <w:r>
              <w:rPr>
                <w:color w:val="000000"/>
                <w:sz w:val="24"/>
              </w:rPr>
              <w:t>6</w:t>
            </w:r>
          </w:p>
        </w:tc>
        <w:tc>
          <w:tcPr>
            <w:vAlign w:val="center"/>
          </w:tcPr>
          <w:p>
            <w:pPr>
              <w:jc w:val="center"/>
            </w:pPr>
            <w:r>
              <w:rPr>
                <w:color w:val="000000"/>
                <w:sz w:val="24"/>
              </w:rPr>
              <w:t>002791</w:t>
            </w:r>
          </w:p>
        </w:tc>
        <w:tc>
          <w:tcPr>
            <w:vAlign w:val="center"/>
          </w:tcPr>
          <w:p>
            <w:pPr>
              <w:jc w:val="center"/>
            </w:pPr>
            <w:r>
              <w:rPr>
                <w:color w:val="000000"/>
                <w:sz w:val="24"/>
              </w:rPr>
              <w:t>坚朗五金</w:t>
            </w:r>
          </w:p>
        </w:tc>
        <w:tc>
          <w:tcPr>
            <w:vAlign w:val="center"/>
          </w:tcPr>
          <w:p>
            <w:pPr>
              <w:jc w:val="right"/>
            </w:pPr>
            <w:r>
              <w:rPr>
                <w:color w:val="000000"/>
                <w:sz w:val="24"/>
              </w:rPr>
              <w:t>52,050</w:t>
            </w:r>
          </w:p>
        </w:tc>
        <w:tc>
          <w:tcPr>
            <w:vAlign w:val="center"/>
          </w:tcPr>
          <w:p>
            <w:pPr>
              <w:jc w:val="right"/>
            </w:pPr>
            <w:r>
              <w:rPr>
                <w:color w:val="000000"/>
                <w:sz w:val="24"/>
              </w:rPr>
              <w:t>1,587,004.50</w:t>
            </w:r>
          </w:p>
        </w:tc>
        <w:tc>
          <w:tcPr>
            <w:vAlign w:val="center"/>
          </w:tcPr>
          <w:p>
            <w:pPr>
              <w:jc w:val="right"/>
            </w:pPr>
            <w:r>
              <w:rPr>
                <w:color w:val="000000"/>
                <w:sz w:val="24"/>
              </w:rPr>
              <w:t>1.03</w:t>
            </w:r>
          </w:p>
        </w:tc>
      </w:tr>
      <w:tr>
        <w:tc>
          <w:tcPr>
            <w:vAlign w:val="center"/>
          </w:tcPr>
          <w:p>
            <w:pPr>
              <w:jc w:val="center"/>
            </w:pPr>
            <w:r>
              <w:rPr>
                <w:color w:val="000000"/>
                <w:sz w:val="24"/>
              </w:rPr>
              <w:t>7</w:t>
            </w:r>
          </w:p>
        </w:tc>
        <w:tc>
          <w:tcPr>
            <w:vAlign w:val="center"/>
          </w:tcPr>
          <w:p>
            <w:pPr>
              <w:jc w:val="center"/>
            </w:pPr>
            <w:r>
              <w:rPr>
                <w:color w:val="000000"/>
                <w:sz w:val="24"/>
              </w:rPr>
              <w:t>002675</w:t>
            </w:r>
          </w:p>
        </w:tc>
        <w:tc>
          <w:tcPr>
            <w:vAlign w:val="center"/>
          </w:tcPr>
          <w:p>
            <w:pPr>
              <w:jc w:val="center"/>
            </w:pPr>
            <w:r>
              <w:rPr>
                <w:color w:val="000000"/>
                <w:sz w:val="24"/>
              </w:rPr>
              <w:t>东诚药业</w:t>
            </w:r>
          </w:p>
        </w:tc>
        <w:tc>
          <w:tcPr>
            <w:vAlign w:val="center"/>
          </w:tcPr>
          <w:p>
            <w:pPr>
              <w:jc w:val="right"/>
            </w:pPr>
            <w:r>
              <w:rPr>
                <w:color w:val="000000"/>
                <w:sz w:val="24"/>
              </w:rPr>
              <w:t>96,900</w:t>
            </w:r>
          </w:p>
        </w:tc>
        <w:tc>
          <w:tcPr>
            <w:vAlign w:val="center"/>
          </w:tcPr>
          <w:p>
            <w:pPr>
              <w:jc w:val="right"/>
            </w:pPr>
            <w:r>
              <w:rPr>
                <w:color w:val="000000"/>
                <w:sz w:val="24"/>
              </w:rPr>
              <w:t>1,561,059.00</w:t>
            </w:r>
          </w:p>
        </w:tc>
        <w:tc>
          <w:tcPr>
            <w:vAlign w:val="center"/>
          </w:tcPr>
          <w:p>
            <w:pPr>
              <w:jc w:val="right"/>
            </w:pPr>
            <w:r>
              <w:rPr>
                <w:color w:val="000000"/>
                <w:sz w:val="24"/>
              </w:rPr>
              <w:t>1.02</w:t>
            </w:r>
          </w:p>
        </w:tc>
      </w:tr>
      <w:tr>
        <w:tc>
          <w:tcPr>
            <w:vAlign w:val="center"/>
          </w:tcPr>
          <w:p>
            <w:pPr>
              <w:jc w:val="center"/>
            </w:pPr>
            <w:r>
              <w:rPr>
                <w:color w:val="000000"/>
                <w:sz w:val="24"/>
              </w:rPr>
              <w:t>8</w:t>
            </w:r>
          </w:p>
        </w:tc>
        <w:tc>
          <w:tcPr>
            <w:vAlign w:val="center"/>
          </w:tcPr>
          <w:p>
            <w:pPr>
              <w:jc w:val="center"/>
            </w:pPr>
            <w:r>
              <w:rPr>
                <w:color w:val="000000"/>
                <w:sz w:val="24"/>
              </w:rPr>
              <w:t>002812</w:t>
            </w:r>
          </w:p>
        </w:tc>
        <w:tc>
          <w:tcPr>
            <w:vAlign w:val="center"/>
          </w:tcPr>
          <w:p>
            <w:pPr>
              <w:jc w:val="center"/>
            </w:pPr>
            <w:r>
              <w:rPr>
                <w:color w:val="000000"/>
                <w:sz w:val="24"/>
              </w:rPr>
              <w:t>恩捷股份</w:t>
            </w:r>
          </w:p>
        </w:tc>
        <w:tc>
          <w:tcPr>
            <w:vAlign w:val="center"/>
          </w:tcPr>
          <w:p>
            <w:pPr>
              <w:jc w:val="right"/>
            </w:pPr>
            <w:r>
              <w:rPr>
                <w:color w:val="000000"/>
                <w:sz w:val="24"/>
              </w:rPr>
              <w:t>30,500</w:t>
            </w:r>
          </w:p>
        </w:tc>
        <w:tc>
          <w:tcPr>
            <w:vAlign w:val="center"/>
          </w:tcPr>
          <w:p>
            <w:pPr>
              <w:jc w:val="right"/>
            </w:pPr>
            <w:r>
              <w:rPr>
                <w:color w:val="000000"/>
                <w:sz w:val="24"/>
              </w:rPr>
              <w:t>1,540,250.00</w:t>
            </w:r>
          </w:p>
        </w:tc>
        <w:tc>
          <w:tcPr>
            <w:vAlign w:val="center"/>
          </w:tcPr>
          <w:p>
            <w:pPr>
              <w:jc w:val="right"/>
            </w:pPr>
            <w:r>
              <w:rPr>
                <w:color w:val="000000"/>
                <w:sz w:val="24"/>
              </w:rPr>
              <w:t>1.00</w:t>
            </w:r>
          </w:p>
        </w:tc>
      </w:tr>
      <w:tr>
        <w:tc>
          <w:tcPr>
            <w:vAlign w:val="center"/>
          </w:tcPr>
          <w:p>
            <w:pPr>
              <w:jc w:val="center"/>
            </w:pPr>
            <w:r>
              <w:rPr>
                <w:color w:val="000000"/>
                <w:sz w:val="24"/>
              </w:rPr>
              <w:t>9</w:t>
            </w:r>
          </w:p>
        </w:tc>
        <w:tc>
          <w:tcPr>
            <w:vAlign w:val="center"/>
          </w:tcPr>
          <w:p>
            <w:pPr>
              <w:jc w:val="center"/>
            </w:pPr>
            <w:r>
              <w:rPr>
                <w:color w:val="000000"/>
                <w:sz w:val="24"/>
              </w:rPr>
              <w:t>600161</w:t>
            </w:r>
          </w:p>
        </w:tc>
        <w:tc>
          <w:tcPr>
            <w:vAlign w:val="center"/>
          </w:tcPr>
          <w:p>
            <w:pPr>
              <w:jc w:val="center"/>
            </w:pPr>
            <w:r>
              <w:rPr>
                <w:color w:val="000000"/>
                <w:sz w:val="24"/>
              </w:rPr>
              <w:t>天坛生物</w:t>
            </w:r>
          </w:p>
        </w:tc>
        <w:tc>
          <w:tcPr>
            <w:vAlign w:val="center"/>
          </w:tcPr>
          <w:p>
            <w:pPr>
              <w:jc w:val="right"/>
            </w:pPr>
            <w:r>
              <w:rPr>
                <w:color w:val="000000"/>
                <w:sz w:val="24"/>
              </w:rPr>
              <w:t>55,100</w:t>
            </w:r>
          </w:p>
        </w:tc>
        <w:tc>
          <w:tcPr>
            <w:vAlign w:val="center"/>
          </w:tcPr>
          <w:p>
            <w:pPr>
              <w:jc w:val="right"/>
            </w:pPr>
            <w:r>
              <w:rPr>
                <w:color w:val="000000"/>
                <w:sz w:val="24"/>
              </w:rPr>
              <w:t>1,539,494.00</w:t>
            </w:r>
          </w:p>
        </w:tc>
        <w:tc>
          <w:tcPr>
            <w:vAlign w:val="center"/>
          </w:tcPr>
          <w:p>
            <w:pPr>
              <w:jc w:val="right"/>
            </w:pPr>
            <w:r>
              <w:rPr>
                <w:color w:val="000000"/>
                <w:sz w:val="24"/>
              </w:rPr>
              <w:t>1.00</w:t>
            </w:r>
          </w:p>
        </w:tc>
      </w:tr>
      <w:tr>
        <w:tc>
          <w:tcPr>
            <w:vAlign w:val="center"/>
          </w:tcPr>
          <w:p>
            <w:pPr>
              <w:jc w:val="center"/>
            </w:pPr>
            <w:r>
              <w:rPr>
                <w:color w:val="000000"/>
                <w:sz w:val="24"/>
              </w:rPr>
              <w:t>10</w:t>
            </w:r>
          </w:p>
        </w:tc>
        <w:tc>
          <w:tcPr>
            <w:vAlign w:val="center"/>
          </w:tcPr>
          <w:p>
            <w:pPr>
              <w:jc w:val="center"/>
            </w:pPr>
            <w:r>
              <w:rPr>
                <w:color w:val="000000"/>
                <w:sz w:val="24"/>
              </w:rPr>
              <w:t>300558</w:t>
            </w:r>
          </w:p>
        </w:tc>
        <w:tc>
          <w:tcPr>
            <w:vAlign w:val="center"/>
          </w:tcPr>
          <w:p>
            <w:pPr>
              <w:jc w:val="center"/>
            </w:pPr>
            <w:r>
              <w:rPr>
                <w:color w:val="000000"/>
                <w:sz w:val="24"/>
              </w:rPr>
              <w:t>贝达药业</w:t>
            </w:r>
          </w:p>
        </w:tc>
        <w:tc>
          <w:tcPr>
            <w:vAlign w:val="center"/>
          </w:tcPr>
          <w:p>
            <w:pPr>
              <w:jc w:val="right"/>
            </w:pPr>
            <w:r>
              <w:rPr>
                <w:color w:val="000000"/>
                <w:sz w:val="24"/>
              </w:rPr>
              <w:t>23,100</w:t>
            </w:r>
          </w:p>
        </w:tc>
        <w:tc>
          <w:tcPr>
            <w:vAlign w:val="center"/>
          </w:tcPr>
          <w:p>
            <w:pPr>
              <w:jc w:val="right"/>
            </w:pPr>
            <w:r>
              <w:rPr>
                <w:color w:val="000000"/>
                <w:sz w:val="24"/>
              </w:rPr>
              <w:t>1,517,670.00</w:t>
            </w:r>
          </w:p>
        </w:tc>
        <w:tc>
          <w:tcPr>
            <w:vAlign w:val="center"/>
          </w:tcPr>
          <w:p>
            <w:pPr>
              <w:jc w:val="right"/>
            </w:pPr>
            <w:r>
              <w:rPr>
                <w:color w:val="000000"/>
                <w:sz w:val="24"/>
              </w:rPr>
              <w:t>0.99</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14,018,368.00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9.12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27,473,240.00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17.87</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27,473,240.00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17.87</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40,565,000.00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26.39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10,144,000.00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6.60</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41,730,172.62</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27.15</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133,930,780.62</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87.13</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019547</w:t>
            </w:r>
          </w:p>
        </w:tc>
        <w:tc>
          <w:tcPr>
            <w:vAlign w:val="center"/>
          </w:tcPr>
          <w:p>
            <w:pPr>
              <w:jc w:val="center"/>
            </w:pPr>
            <w:r>
              <w:rPr>
                <w:color w:val="000000"/>
                <w:sz w:val="24"/>
              </w:rPr>
              <w:t>16国债19</w:t>
            </w:r>
          </w:p>
        </w:tc>
        <w:tc>
          <w:tcPr>
            <w:vAlign w:val="center"/>
          </w:tcPr>
          <w:p>
            <w:pPr>
              <w:jc w:val="right"/>
            </w:pPr>
            <w:r>
              <w:rPr>
                <w:color w:val="000000"/>
                <w:sz w:val="24"/>
              </w:rPr>
              <w:t>151,060</w:t>
            </w:r>
          </w:p>
        </w:tc>
        <w:tc>
          <w:tcPr>
            <w:vAlign w:val="center"/>
          </w:tcPr>
          <w:p>
            <w:pPr>
              <w:jc w:val="right"/>
            </w:pPr>
            <w:r>
              <w:rPr>
                <w:color w:val="000000"/>
                <w:sz w:val="24"/>
              </w:rPr>
              <w:t>14,018,368.00</w:t>
            </w:r>
          </w:p>
        </w:tc>
        <w:tc>
          <w:tcPr>
            <w:vAlign w:val="center"/>
          </w:tcPr>
          <w:p>
            <w:pPr>
              <w:jc w:val="right"/>
            </w:pPr>
            <w:r>
              <w:rPr>
                <w:color w:val="000000"/>
                <w:sz w:val="24"/>
              </w:rPr>
              <w:t>9.12</w:t>
            </w:r>
          </w:p>
        </w:tc>
      </w:tr>
      <w:tr>
        <w:tc>
          <w:tcPr>
            <w:vAlign w:val="center"/>
          </w:tcPr>
          <w:p>
            <w:pPr>
              <w:jc w:val="center"/>
            </w:pPr>
            <w:r>
              <w:rPr>
                <w:color w:val="000000"/>
                <w:sz w:val="24"/>
              </w:rPr>
              <w:t>2</w:t>
            </w:r>
          </w:p>
        </w:tc>
        <w:tc>
          <w:tcPr>
            <w:vAlign w:val="center"/>
          </w:tcPr>
          <w:p>
            <w:pPr>
              <w:jc w:val="center"/>
            </w:pPr>
            <w:r>
              <w:rPr>
                <w:color w:val="000000"/>
                <w:sz w:val="24"/>
              </w:rPr>
              <w:t>112730</w:t>
            </w:r>
          </w:p>
        </w:tc>
        <w:tc>
          <w:tcPr>
            <w:vAlign w:val="center"/>
          </w:tcPr>
          <w:p>
            <w:pPr>
              <w:jc w:val="center"/>
            </w:pPr>
            <w:r>
              <w:rPr>
                <w:color w:val="000000"/>
                <w:sz w:val="24"/>
              </w:rPr>
              <w:t>18粤科02</w:t>
            </w:r>
          </w:p>
        </w:tc>
        <w:tc>
          <w:tcPr>
            <w:vAlign w:val="center"/>
          </w:tcPr>
          <w:p>
            <w:pPr>
              <w:jc w:val="right"/>
            </w:pPr>
            <w:r>
              <w:rPr>
                <w:color w:val="000000"/>
                <w:sz w:val="24"/>
              </w:rPr>
              <w:t>100,000</w:t>
            </w:r>
          </w:p>
        </w:tc>
        <w:tc>
          <w:tcPr>
            <w:vAlign w:val="center"/>
          </w:tcPr>
          <w:p>
            <w:pPr>
              <w:jc w:val="right"/>
            </w:pPr>
            <w:r>
              <w:rPr>
                <w:color w:val="000000"/>
                <w:sz w:val="24"/>
              </w:rPr>
              <w:t>10,353,000.00</w:t>
            </w:r>
          </w:p>
        </w:tc>
        <w:tc>
          <w:tcPr>
            <w:vAlign w:val="center"/>
          </w:tcPr>
          <w:p>
            <w:pPr>
              <w:jc w:val="right"/>
            </w:pPr>
            <w:r>
              <w:rPr>
                <w:color w:val="000000"/>
                <w:sz w:val="24"/>
              </w:rPr>
              <w:t>6.74</w:t>
            </w:r>
          </w:p>
        </w:tc>
      </w:tr>
      <w:tr>
        <w:tc>
          <w:tcPr>
            <w:vAlign w:val="center"/>
          </w:tcPr>
          <w:p>
            <w:pPr>
              <w:jc w:val="center"/>
            </w:pPr>
            <w:r>
              <w:rPr>
                <w:color w:val="000000"/>
                <w:sz w:val="24"/>
              </w:rPr>
              <w:t>3</w:t>
            </w:r>
          </w:p>
        </w:tc>
        <w:tc>
          <w:tcPr>
            <w:vAlign w:val="center"/>
          </w:tcPr>
          <w:p>
            <w:pPr>
              <w:jc w:val="center"/>
            </w:pPr>
            <w:r>
              <w:rPr>
                <w:color w:val="000000"/>
                <w:sz w:val="24"/>
              </w:rPr>
              <w:t>143663</w:t>
            </w:r>
          </w:p>
        </w:tc>
        <w:tc>
          <w:tcPr>
            <w:vAlign w:val="center"/>
          </w:tcPr>
          <w:p>
            <w:pPr>
              <w:jc w:val="center"/>
            </w:pPr>
            <w:r>
              <w:rPr>
                <w:color w:val="000000"/>
                <w:sz w:val="24"/>
              </w:rPr>
              <w:t>18苏城01</w:t>
            </w:r>
          </w:p>
        </w:tc>
        <w:tc>
          <w:tcPr>
            <w:vAlign w:val="center"/>
          </w:tcPr>
          <w:p>
            <w:pPr>
              <w:jc w:val="right"/>
            </w:pPr>
            <w:r>
              <w:rPr>
                <w:color w:val="000000"/>
                <w:sz w:val="24"/>
              </w:rPr>
              <w:t>100,000</w:t>
            </w:r>
          </w:p>
        </w:tc>
        <w:tc>
          <w:tcPr>
            <w:vAlign w:val="center"/>
          </w:tcPr>
          <w:p>
            <w:pPr>
              <w:jc w:val="right"/>
            </w:pPr>
            <w:r>
              <w:rPr>
                <w:color w:val="000000"/>
                <w:sz w:val="24"/>
              </w:rPr>
              <w:t>10,197,000.00</w:t>
            </w:r>
          </w:p>
        </w:tc>
        <w:tc>
          <w:tcPr>
            <w:vAlign w:val="center"/>
          </w:tcPr>
          <w:p>
            <w:pPr>
              <w:jc w:val="right"/>
            </w:pPr>
            <w:r>
              <w:rPr>
                <w:color w:val="000000"/>
                <w:sz w:val="24"/>
              </w:rPr>
              <w:t>6.63</w:t>
            </w:r>
          </w:p>
        </w:tc>
      </w:tr>
      <w:tr>
        <w:tc>
          <w:tcPr>
            <w:vAlign w:val="center"/>
          </w:tcPr>
          <w:p>
            <w:pPr>
              <w:jc w:val="center"/>
            </w:pPr>
            <w:r>
              <w:rPr>
                <w:color w:val="000000"/>
                <w:sz w:val="24"/>
              </w:rPr>
              <w:t>4</w:t>
            </w:r>
          </w:p>
        </w:tc>
        <w:tc>
          <w:tcPr>
            <w:vAlign w:val="center"/>
          </w:tcPr>
          <w:p>
            <w:pPr>
              <w:jc w:val="center"/>
            </w:pPr>
            <w:r>
              <w:rPr>
                <w:color w:val="000000"/>
                <w:sz w:val="24"/>
              </w:rPr>
              <w:t>180208</w:t>
            </w:r>
          </w:p>
        </w:tc>
        <w:tc>
          <w:tcPr>
            <w:vAlign w:val="center"/>
          </w:tcPr>
          <w:p>
            <w:pPr>
              <w:jc w:val="center"/>
            </w:pPr>
            <w:r>
              <w:rPr>
                <w:color w:val="000000"/>
                <w:sz w:val="24"/>
              </w:rPr>
              <w:t>18国开08</w:t>
            </w:r>
          </w:p>
        </w:tc>
        <w:tc>
          <w:tcPr>
            <w:vAlign w:val="center"/>
          </w:tcPr>
          <w:p>
            <w:pPr>
              <w:jc w:val="right"/>
            </w:pPr>
            <w:r>
              <w:rPr>
                <w:color w:val="000000"/>
                <w:sz w:val="24"/>
              </w:rPr>
              <w:t>100,000</w:t>
            </w:r>
          </w:p>
        </w:tc>
        <w:tc>
          <w:tcPr>
            <w:vAlign w:val="center"/>
          </w:tcPr>
          <w:p>
            <w:pPr>
              <w:jc w:val="right"/>
            </w:pPr>
            <w:r>
              <w:rPr>
                <w:color w:val="000000"/>
                <w:sz w:val="24"/>
              </w:rPr>
              <w:t>10,180,000.00</w:t>
            </w:r>
          </w:p>
        </w:tc>
        <w:tc>
          <w:tcPr>
            <w:vAlign w:val="center"/>
          </w:tcPr>
          <w:p>
            <w:pPr>
              <w:jc w:val="right"/>
            </w:pPr>
            <w:r>
              <w:rPr>
                <w:color w:val="000000"/>
                <w:sz w:val="24"/>
              </w:rPr>
              <w:t>6.62</w:t>
            </w:r>
          </w:p>
        </w:tc>
      </w:tr>
      <w:tr>
        <w:tc>
          <w:tcPr>
            <w:vAlign w:val="center"/>
          </w:tcPr>
          <w:p>
            <w:pPr>
              <w:jc w:val="center"/>
            </w:pPr>
            <w:r>
              <w:rPr>
                <w:color w:val="000000"/>
                <w:sz w:val="24"/>
              </w:rPr>
              <w:t>5</w:t>
            </w:r>
          </w:p>
        </w:tc>
        <w:tc>
          <w:tcPr>
            <w:vAlign w:val="center"/>
          </w:tcPr>
          <w:p>
            <w:pPr>
              <w:jc w:val="center"/>
            </w:pPr>
            <w:r>
              <w:rPr>
                <w:color w:val="000000"/>
                <w:sz w:val="24"/>
              </w:rPr>
              <w:t>101773019</w:t>
            </w:r>
          </w:p>
        </w:tc>
        <w:tc>
          <w:tcPr>
            <w:vAlign w:val="center"/>
          </w:tcPr>
          <w:p>
            <w:pPr>
              <w:jc w:val="center"/>
            </w:pPr>
            <w:r>
              <w:rPr>
                <w:color w:val="000000"/>
                <w:sz w:val="24"/>
              </w:rPr>
              <w:t>17北辰实业MTN001</w:t>
            </w:r>
          </w:p>
        </w:tc>
        <w:tc>
          <w:tcPr>
            <w:vAlign w:val="center"/>
          </w:tcPr>
          <w:p>
            <w:pPr>
              <w:jc w:val="right"/>
            </w:pPr>
            <w:r>
              <w:rPr>
                <w:color w:val="000000"/>
                <w:sz w:val="24"/>
              </w:rPr>
              <w:t>100,000</w:t>
            </w:r>
          </w:p>
        </w:tc>
        <w:tc>
          <w:tcPr>
            <w:vAlign w:val="center"/>
          </w:tcPr>
          <w:p>
            <w:pPr>
              <w:jc w:val="right"/>
            </w:pPr>
            <w:r>
              <w:rPr>
                <w:color w:val="000000"/>
                <w:sz w:val="24"/>
              </w:rPr>
              <w:t>10,144,000.00</w:t>
            </w:r>
          </w:p>
        </w:tc>
        <w:tc>
          <w:tcPr>
            <w:vAlign w:val="center"/>
          </w:tcPr>
          <w:p>
            <w:pPr>
              <w:jc w:val="right"/>
            </w:pPr>
            <w:r>
              <w:rPr>
                <w:color w:val="000000"/>
                <w:sz w:val="24"/>
              </w:rPr>
              <w:t>6.60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81,752.54</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14,618,298.32</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1,545,367.08</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20,046,149.40</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36,291,567.34</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9765C1" w:rsidR="009765C1" w:rsidRDefault="009765C1" w:rsidRPr="007F52FA">
      <w:pPr>
        <w:autoSpaceDE w:val="0"/>
        <w:autoSpaceDN w:val="0"/>
        <w:adjustRightInd w:val="0"/>
        <w:spacing w:before="29" w:line="288" w:lineRule="auto"/>
        <w:jc w:val="right"/>
        <w:rPr>
          <w:kern w:val="0"/>
          <w:sz w:val="24"/>
        </w:rPr>
      </w:pPr>
      <w:r w:rsidRPr="009765C1">
        <w:rPr>
          <w:rFonts w:hint="eastAsia"/>
          <w:kern w:val="0"/>
          <w:sz w:val="24"/>
        </w:rPr>
        <w:t/>
      </w:r>
      <w:r w:rsidRPr="009765C1">
        <w:rPr>
          <w:rFonts w:hint="eastAsia"/>
          <w:kern w:val="0"/>
          <w:sz w:val="24"/>
        </w:rPr>
        <w:t>金额单位：人民币元</w:t>
      </w:r>
    </w:p>
    <w:tbl>
      <w:tblPr>
        <w:tblStyle w:val="af2"/>
        <w:tblW w:type="dxa" w:w="8868"/>
        <w:jc w:val="center"/>
        <w:tblCellMar>
          <w:top w:type="dxa" w:w="57"/>
          <w:bottom w:type="dxa" w:w="57"/>
        </w:tblCellMar>
        <w:tblLook w:firstColumn="1" w:firstRow="1" w:lastColumn="0" w:lastRow="0" w:noHBand="0" w:noVBand="1" w:val="04A0"/>
      </w:tblPr>
      <w:tblGrid>
        <w:gridCol w:w="1162"/>
        <w:gridCol w:w="2639"/>
        <w:gridCol w:w="1813"/>
        <w:gridCol w:w="1783"/>
        <w:gridCol w:w="1845"/>
      </w:tblGrid>
      <w:tr w:rsidR="001D5CD0" w:rsidRPr="007F52FA" w:rsidTr="00837861">
        <w:trPr>
          <w:jc w:val="center"/>
        </w:trPr>
        <w:tc>
          <w:tcPr>
            <w:tcW w:type="dxa" w:w="944"/>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type="dxa" w:w="2568"/>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type="dxa" w:w="1665"/>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type="dxa" w:w="1727"/>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type="dxa" w:w="1609"/>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tc>
          <w:tcPr>
            <w:vAlign w:val="center"/>
          </w:tcPr>
          <w:p>
            <w:pPr>
              <w:jc w:val="center"/>
            </w:pPr>
            <w:r>
              <w:rPr>
                <w:rFonts w:eastAsiaTheme="minorEastAsia"/>
                <w:color w:val="000000"/>
                <w:sz w:val="24"/>
              </w:rPr>
              <w:t>1</w:t>
            </w:r>
          </w:p>
        </w:tc>
        <w:tc>
          <w:tcPr>
            <w:vAlign w:val="center"/>
          </w:tcPr>
          <w:p>
            <w:pPr>
              <w:jc w:val="center"/>
            </w:pPr>
            <w:r>
              <w:rPr>
                <w:rFonts w:eastAsiaTheme="minorEastAsia"/>
                <w:color w:val="000000"/>
                <w:sz w:val="24"/>
              </w:rPr>
              <w:t>110053</w:t>
            </w:r>
          </w:p>
        </w:tc>
        <w:tc>
          <w:tcPr>
            <w:vAlign w:val="center"/>
          </w:tcPr>
          <w:p>
            <w:pPr>
              <w:jc w:val="center"/>
            </w:pPr>
            <w:r>
              <w:rPr>
                <w:rFonts w:eastAsiaTheme="minorEastAsia"/>
                <w:color w:val="000000"/>
                <w:sz w:val="24"/>
              </w:rPr>
              <w:t>苏银转债</w:t>
            </w:r>
          </w:p>
        </w:tc>
        <w:tc>
          <w:tcPr>
            <w:vAlign w:val="center"/>
          </w:tcPr>
          <w:p>
            <w:pPr>
              <w:jc w:val="right"/>
            </w:pPr>
            <w:r>
              <w:rPr>
                <w:rFonts w:eastAsiaTheme="minorEastAsia"/>
                <w:color w:val="000000"/>
                <w:sz w:val="24"/>
              </w:rPr>
              <w:t>6,166,496.70</w:t>
            </w:r>
          </w:p>
        </w:tc>
        <w:tc>
          <w:tcPr>
            <w:vAlign w:val="center"/>
          </w:tcPr>
          <w:p>
            <w:pPr>
              <w:jc w:val="right"/>
            </w:pPr>
            <w:r>
              <w:rPr>
                <w:rFonts w:eastAsiaTheme="minorEastAsia"/>
                <w:color w:val="000000"/>
                <w:sz w:val="24"/>
              </w:rPr>
              <w:t>4.01</w:t>
            </w:r>
          </w:p>
        </w:tc>
      </w:tr>
      <w:tr>
        <w:tc>
          <w:tcPr>
            <w:vAlign w:val="center"/>
          </w:tcPr>
          <w:p>
            <w:pPr>
              <w:jc w:val="center"/>
            </w:pPr>
            <w:r>
              <w:rPr>
                <w:rFonts w:eastAsiaTheme="minorEastAsia"/>
                <w:color w:val="000000"/>
                <w:sz w:val="24"/>
              </w:rPr>
              <w:t>2</w:t>
            </w:r>
          </w:p>
        </w:tc>
        <w:tc>
          <w:tcPr>
            <w:vAlign w:val="center"/>
          </w:tcPr>
          <w:p>
            <w:pPr>
              <w:jc w:val="center"/>
            </w:pPr>
            <w:r>
              <w:rPr>
                <w:rFonts w:eastAsiaTheme="minorEastAsia"/>
                <w:color w:val="000000"/>
                <w:sz w:val="24"/>
              </w:rPr>
              <w:t>128053</w:t>
            </w:r>
          </w:p>
        </w:tc>
        <w:tc>
          <w:tcPr>
            <w:vAlign w:val="center"/>
          </w:tcPr>
          <w:p>
            <w:pPr>
              <w:jc w:val="center"/>
            </w:pPr>
            <w:r>
              <w:rPr>
                <w:rFonts w:eastAsiaTheme="minorEastAsia"/>
                <w:color w:val="000000"/>
                <w:sz w:val="24"/>
              </w:rPr>
              <w:t>尚荣转债</w:t>
            </w:r>
          </w:p>
        </w:tc>
        <w:tc>
          <w:tcPr>
            <w:vAlign w:val="center"/>
          </w:tcPr>
          <w:p>
            <w:pPr>
              <w:jc w:val="right"/>
            </w:pPr>
            <w:r>
              <w:rPr>
                <w:rFonts w:eastAsiaTheme="minorEastAsia"/>
                <w:color w:val="000000"/>
                <w:sz w:val="24"/>
              </w:rPr>
              <w:t>4,674,417.16</w:t>
            </w:r>
          </w:p>
        </w:tc>
        <w:tc>
          <w:tcPr>
            <w:vAlign w:val="center"/>
          </w:tcPr>
          <w:p>
            <w:pPr>
              <w:jc w:val="right"/>
            </w:pPr>
            <w:r>
              <w:rPr>
                <w:rFonts w:eastAsiaTheme="minorEastAsia"/>
                <w:color w:val="000000"/>
                <w:sz w:val="24"/>
              </w:rPr>
              <w:t>3.04</w:t>
            </w:r>
          </w:p>
        </w:tc>
      </w:tr>
      <w:tr>
        <w:tc>
          <w:tcPr>
            <w:vAlign w:val="center"/>
          </w:tcPr>
          <w:p>
            <w:pPr>
              <w:jc w:val="center"/>
            </w:pPr>
            <w:r>
              <w:rPr>
                <w:rFonts w:eastAsiaTheme="minorEastAsia"/>
                <w:color w:val="000000"/>
                <w:sz w:val="24"/>
              </w:rPr>
              <w:t>3</w:t>
            </w:r>
          </w:p>
        </w:tc>
        <w:tc>
          <w:tcPr>
            <w:vAlign w:val="center"/>
          </w:tcPr>
          <w:p>
            <w:pPr>
              <w:jc w:val="center"/>
            </w:pPr>
            <w:r>
              <w:rPr>
                <w:rFonts w:eastAsiaTheme="minorEastAsia"/>
                <w:color w:val="000000"/>
                <w:sz w:val="24"/>
              </w:rPr>
              <w:t>128016</w:t>
            </w:r>
          </w:p>
        </w:tc>
        <w:tc>
          <w:tcPr>
            <w:vAlign w:val="center"/>
          </w:tcPr>
          <w:p>
            <w:pPr>
              <w:jc w:val="center"/>
            </w:pPr>
            <w:r>
              <w:rPr>
                <w:rFonts w:eastAsiaTheme="minorEastAsia"/>
                <w:color w:val="000000"/>
                <w:sz w:val="24"/>
              </w:rPr>
              <w:t>雨虹转债</w:t>
            </w:r>
          </w:p>
        </w:tc>
        <w:tc>
          <w:tcPr>
            <w:vAlign w:val="center"/>
          </w:tcPr>
          <w:p>
            <w:pPr>
              <w:jc w:val="right"/>
            </w:pPr>
            <w:r>
              <w:rPr>
                <w:rFonts w:eastAsiaTheme="minorEastAsia"/>
                <w:color w:val="000000"/>
                <w:sz w:val="24"/>
              </w:rPr>
              <w:t>4,161,140.55</w:t>
            </w:r>
          </w:p>
        </w:tc>
        <w:tc>
          <w:tcPr>
            <w:vAlign w:val="center"/>
          </w:tcPr>
          <w:p>
            <w:pPr>
              <w:jc w:val="right"/>
            </w:pPr>
            <w:r>
              <w:rPr>
                <w:rFonts w:eastAsiaTheme="minorEastAsia"/>
                <w:color w:val="000000"/>
                <w:sz w:val="24"/>
              </w:rPr>
              <w:t>2.71</w:t>
            </w:r>
          </w:p>
        </w:tc>
      </w:tr>
      <w:tr>
        <w:tc>
          <w:tcPr>
            <w:vAlign w:val="center"/>
          </w:tcPr>
          <w:p>
            <w:pPr>
              <w:jc w:val="center"/>
            </w:pPr>
            <w:r>
              <w:rPr>
                <w:rFonts w:eastAsiaTheme="minorEastAsia"/>
                <w:color w:val="000000"/>
                <w:sz w:val="24"/>
              </w:rPr>
              <w:t>4</w:t>
            </w:r>
          </w:p>
        </w:tc>
        <w:tc>
          <w:tcPr>
            <w:vAlign w:val="center"/>
          </w:tcPr>
          <w:p>
            <w:pPr>
              <w:jc w:val="center"/>
            </w:pPr>
            <w:r>
              <w:rPr>
                <w:rFonts w:eastAsiaTheme="minorEastAsia"/>
                <w:color w:val="000000"/>
                <w:sz w:val="24"/>
              </w:rPr>
              <w:t>113534</w:t>
            </w:r>
          </w:p>
        </w:tc>
        <w:tc>
          <w:tcPr>
            <w:vAlign w:val="center"/>
          </w:tcPr>
          <w:p>
            <w:pPr>
              <w:jc w:val="center"/>
            </w:pPr>
            <w:r>
              <w:rPr>
                <w:rFonts w:eastAsiaTheme="minorEastAsia"/>
                <w:color w:val="000000"/>
                <w:sz w:val="24"/>
              </w:rPr>
              <w:t>鼎胜转债</w:t>
            </w:r>
          </w:p>
        </w:tc>
        <w:tc>
          <w:tcPr>
            <w:vAlign w:val="center"/>
          </w:tcPr>
          <w:p>
            <w:pPr>
              <w:jc w:val="right"/>
            </w:pPr>
            <w:r>
              <w:rPr>
                <w:rFonts w:eastAsiaTheme="minorEastAsia"/>
                <w:color w:val="000000"/>
                <w:sz w:val="24"/>
              </w:rPr>
              <w:t>3,080,056.40</w:t>
            </w:r>
          </w:p>
        </w:tc>
        <w:tc>
          <w:tcPr>
            <w:vAlign w:val="center"/>
          </w:tcPr>
          <w:p>
            <w:pPr>
              <w:jc w:val="right"/>
            </w:pPr>
            <w:r>
              <w:rPr>
                <w:rFonts w:eastAsiaTheme="minorEastAsia"/>
                <w:color w:val="000000"/>
                <w:sz w:val="24"/>
              </w:rPr>
              <w:t>2.00</w:t>
            </w:r>
          </w:p>
        </w:tc>
      </w:tr>
      <w:tr>
        <w:tc>
          <w:tcPr>
            <w:vAlign w:val="center"/>
          </w:tcPr>
          <w:p>
            <w:pPr>
              <w:jc w:val="center"/>
            </w:pPr>
            <w:r>
              <w:rPr>
                <w:rFonts w:eastAsiaTheme="minorEastAsia"/>
                <w:color w:val="000000"/>
                <w:sz w:val="24"/>
              </w:rPr>
              <w:t>5</w:t>
            </w:r>
          </w:p>
        </w:tc>
        <w:tc>
          <w:tcPr>
            <w:vAlign w:val="center"/>
          </w:tcPr>
          <w:p>
            <w:pPr>
              <w:jc w:val="center"/>
            </w:pPr>
            <w:r>
              <w:rPr>
                <w:rFonts w:eastAsiaTheme="minorEastAsia"/>
                <w:color w:val="000000"/>
                <w:sz w:val="24"/>
              </w:rPr>
              <w:t>113525</w:t>
            </w:r>
          </w:p>
        </w:tc>
        <w:tc>
          <w:tcPr>
            <w:vAlign w:val="center"/>
          </w:tcPr>
          <w:p>
            <w:pPr>
              <w:jc w:val="center"/>
            </w:pPr>
            <w:r>
              <w:rPr>
                <w:rFonts w:eastAsiaTheme="minorEastAsia"/>
                <w:color w:val="000000"/>
                <w:sz w:val="24"/>
              </w:rPr>
              <w:t>台华转债</w:t>
            </w:r>
          </w:p>
        </w:tc>
        <w:tc>
          <w:tcPr>
            <w:vAlign w:val="center"/>
          </w:tcPr>
          <w:p>
            <w:pPr>
              <w:jc w:val="right"/>
            </w:pPr>
            <w:r>
              <w:rPr>
                <w:rFonts w:eastAsiaTheme="minorEastAsia"/>
                <w:color w:val="000000"/>
                <w:sz w:val="24"/>
              </w:rPr>
              <w:t>3,020,083.20</w:t>
            </w:r>
          </w:p>
        </w:tc>
        <w:tc>
          <w:tcPr>
            <w:vAlign w:val="center"/>
          </w:tcPr>
          <w:p>
            <w:pPr>
              <w:jc w:val="right"/>
            </w:pPr>
            <w:r>
              <w:rPr>
                <w:rFonts w:eastAsiaTheme="minorEastAsia"/>
                <w:color w:val="000000"/>
                <w:sz w:val="24"/>
              </w:rPr>
              <w:t>1.96</w:t>
            </w:r>
          </w:p>
        </w:tc>
      </w:tr>
      <w:tr>
        <w:tc>
          <w:tcPr>
            <w:vAlign w:val="center"/>
          </w:tcPr>
          <w:p>
            <w:pPr>
              <w:jc w:val="center"/>
            </w:pPr>
            <w:r>
              <w:rPr>
                <w:rFonts w:eastAsiaTheme="minorEastAsia"/>
                <w:color w:val="000000"/>
                <w:sz w:val="24"/>
              </w:rPr>
              <w:t>6</w:t>
            </w:r>
          </w:p>
        </w:tc>
        <w:tc>
          <w:tcPr>
            <w:vAlign w:val="center"/>
          </w:tcPr>
          <w:p>
            <w:pPr>
              <w:jc w:val="center"/>
            </w:pPr>
            <w:r>
              <w:rPr>
                <w:rFonts w:eastAsiaTheme="minorEastAsia"/>
                <w:color w:val="000000"/>
                <w:sz w:val="24"/>
              </w:rPr>
              <w:t>128044</w:t>
            </w:r>
          </w:p>
        </w:tc>
        <w:tc>
          <w:tcPr>
            <w:vAlign w:val="center"/>
          </w:tcPr>
          <w:p>
            <w:pPr>
              <w:jc w:val="center"/>
            </w:pPr>
            <w:r>
              <w:rPr>
                <w:rFonts w:eastAsiaTheme="minorEastAsia"/>
                <w:color w:val="000000"/>
                <w:sz w:val="24"/>
              </w:rPr>
              <w:t>岭南转债</w:t>
            </w:r>
          </w:p>
        </w:tc>
        <w:tc>
          <w:tcPr>
            <w:vAlign w:val="center"/>
          </w:tcPr>
          <w:p>
            <w:pPr>
              <w:jc w:val="right"/>
            </w:pPr>
            <w:r>
              <w:rPr>
                <w:rFonts w:eastAsiaTheme="minorEastAsia"/>
                <w:color w:val="000000"/>
                <w:sz w:val="24"/>
              </w:rPr>
              <w:t>2,927,802.50</w:t>
            </w:r>
          </w:p>
        </w:tc>
        <w:tc>
          <w:tcPr>
            <w:vAlign w:val="center"/>
          </w:tcPr>
          <w:p>
            <w:pPr>
              <w:jc w:val="right"/>
            </w:pPr>
            <w:r>
              <w:rPr>
                <w:rFonts w:eastAsiaTheme="minorEastAsia"/>
                <w:color w:val="000000"/>
                <w:sz w:val="24"/>
              </w:rPr>
              <w:t>1.90</w:t>
            </w:r>
          </w:p>
        </w:tc>
      </w:tr>
      <w:tr>
        <w:tc>
          <w:tcPr>
            <w:vAlign w:val="center"/>
          </w:tcPr>
          <w:p>
            <w:pPr>
              <w:jc w:val="center"/>
            </w:pPr>
            <w:r>
              <w:rPr>
                <w:rFonts w:eastAsiaTheme="minorEastAsia"/>
                <w:color w:val="000000"/>
                <w:sz w:val="24"/>
              </w:rPr>
              <w:t>7</w:t>
            </w:r>
          </w:p>
        </w:tc>
        <w:tc>
          <w:tcPr>
            <w:vAlign w:val="center"/>
          </w:tcPr>
          <w:p>
            <w:pPr>
              <w:jc w:val="center"/>
            </w:pPr>
            <w:r>
              <w:rPr>
                <w:rFonts w:eastAsiaTheme="minorEastAsia"/>
                <w:color w:val="000000"/>
                <w:sz w:val="24"/>
              </w:rPr>
              <w:t>113017</w:t>
            </w:r>
          </w:p>
        </w:tc>
        <w:tc>
          <w:tcPr>
            <w:vAlign w:val="center"/>
          </w:tcPr>
          <w:p>
            <w:pPr>
              <w:jc w:val="center"/>
            </w:pPr>
            <w:r>
              <w:rPr>
                <w:rFonts w:eastAsiaTheme="minorEastAsia"/>
                <w:color w:val="000000"/>
                <w:sz w:val="24"/>
              </w:rPr>
              <w:t>吉视转债</w:t>
            </w:r>
          </w:p>
        </w:tc>
        <w:tc>
          <w:tcPr>
            <w:vAlign w:val="center"/>
          </w:tcPr>
          <w:p>
            <w:pPr>
              <w:jc w:val="right"/>
            </w:pPr>
            <w:r>
              <w:rPr>
                <w:rFonts w:eastAsiaTheme="minorEastAsia"/>
                <w:color w:val="000000"/>
                <w:sz w:val="24"/>
              </w:rPr>
              <w:t>1,922,986.80</w:t>
            </w:r>
          </w:p>
        </w:tc>
        <w:tc>
          <w:tcPr>
            <w:vAlign w:val="center"/>
          </w:tcPr>
          <w:p>
            <w:pPr>
              <w:jc w:val="right"/>
            </w:pPr>
            <w:r>
              <w:rPr>
                <w:rFonts w:eastAsiaTheme="minorEastAsia"/>
                <w:color w:val="000000"/>
                <w:sz w:val="24"/>
              </w:rPr>
              <w:t>1.25</w:t>
            </w:r>
          </w:p>
        </w:tc>
      </w:tr>
      <w:tr>
        <w:tc>
          <w:tcPr>
            <w:vAlign w:val="center"/>
          </w:tcPr>
          <w:p>
            <w:pPr>
              <w:jc w:val="center"/>
            </w:pPr>
            <w:r>
              <w:rPr>
                <w:rFonts w:eastAsiaTheme="minorEastAsia"/>
                <w:color w:val="000000"/>
                <w:sz w:val="24"/>
              </w:rPr>
              <w:t>8</w:t>
            </w:r>
          </w:p>
        </w:tc>
        <w:tc>
          <w:tcPr>
            <w:vAlign w:val="center"/>
          </w:tcPr>
          <w:p>
            <w:pPr>
              <w:jc w:val="center"/>
            </w:pPr>
            <w:r>
              <w:rPr>
                <w:rFonts w:eastAsiaTheme="minorEastAsia"/>
                <w:color w:val="000000"/>
                <w:sz w:val="24"/>
              </w:rPr>
              <w:t>113505</w:t>
            </w:r>
          </w:p>
        </w:tc>
        <w:tc>
          <w:tcPr>
            <w:vAlign w:val="center"/>
          </w:tcPr>
          <w:p>
            <w:pPr>
              <w:jc w:val="center"/>
            </w:pPr>
            <w:r>
              <w:rPr>
                <w:rFonts w:eastAsiaTheme="minorEastAsia"/>
                <w:color w:val="000000"/>
                <w:sz w:val="24"/>
              </w:rPr>
              <w:t>杭电转债</w:t>
            </w:r>
          </w:p>
        </w:tc>
        <w:tc>
          <w:tcPr>
            <w:vAlign w:val="center"/>
          </w:tcPr>
          <w:p>
            <w:pPr>
              <w:jc w:val="right"/>
            </w:pPr>
            <w:r>
              <w:rPr>
                <w:rFonts w:eastAsiaTheme="minorEastAsia"/>
                <w:color w:val="000000"/>
                <w:sz w:val="24"/>
              </w:rPr>
              <w:t>1,483,175.00</w:t>
            </w:r>
          </w:p>
        </w:tc>
        <w:tc>
          <w:tcPr>
            <w:vAlign w:val="center"/>
          </w:tcPr>
          <w:p>
            <w:pPr>
              <w:jc w:val="right"/>
            </w:pPr>
            <w:r>
              <w:rPr>
                <w:rFonts w:eastAsiaTheme="minorEastAsia"/>
                <w:color w:val="000000"/>
                <w:sz w:val="24"/>
              </w:rPr>
              <w:t>0.96</w:t>
            </w:r>
          </w:p>
        </w:tc>
      </w:tr>
      <w:tr>
        <w:tc>
          <w:tcPr>
            <w:vAlign w:val="center"/>
          </w:tcPr>
          <w:p>
            <w:pPr>
              <w:jc w:val="center"/>
            </w:pPr>
            <w:r>
              <w:rPr>
                <w:rFonts w:eastAsiaTheme="minorEastAsia"/>
                <w:color w:val="000000"/>
                <w:sz w:val="24"/>
              </w:rPr>
              <w:t>9</w:t>
            </w:r>
          </w:p>
        </w:tc>
        <w:tc>
          <w:tcPr>
            <w:vAlign w:val="center"/>
          </w:tcPr>
          <w:p>
            <w:pPr>
              <w:jc w:val="center"/>
            </w:pPr>
            <w:r>
              <w:rPr>
                <w:rFonts w:eastAsiaTheme="minorEastAsia"/>
                <w:color w:val="000000"/>
                <w:sz w:val="24"/>
              </w:rPr>
              <w:t>123004</w:t>
            </w:r>
          </w:p>
        </w:tc>
        <w:tc>
          <w:tcPr>
            <w:vAlign w:val="center"/>
          </w:tcPr>
          <w:p>
            <w:pPr>
              <w:jc w:val="center"/>
            </w:pPr>
            <w:r>
              <w:rPr>
                <w:rFonts w:eastAsiaTheme="minorEastAsia"/>
                <w:color w:val="000000"/>
                <w:sz w:val="24"/>
              </w:rPr>
              <w:t>铁汉转债</w:t>
            </w:r>
          </w:p>
        </w:tc>
        <w:tc>
          <w:tcPr>
            <w:vAlign w:val="center"/>
          </w:tcPr>
          <w:p>
            <w:pPr>
              <w:jc w:val="right"/>
            </w:pPr>
            <w:r>
              <w:rPr>
                <w:rFonts w:eastAsiaTheme="minorEastAsia"/>
                <w:color w:val="000000"/>
                <w:sz w:val="24"/>
              </w:rPr>
              <w:t>1,473,455.21</w:t>
            </w:r>
          </w:p>
        </w:tc>
        <w:tc>
          <w:tcPr>
            <w:vAlign w:val="center"/>
          </w:tcPr>
          <w:p>
            <w:pPr>
              <w:jc w:val="right"/>
            </w:pPr>
            <w:r>
              <w:rPr>
                <w:rFonts w:eastAsiaTheme="minorEastAsia"/>
                <w:color w:val="000000"/>
                <w:sz w:val="24"/>
              </w:rPr>
              <w:t>0.96</w:t>
            </w:r>
          </w:p>
        </w:tc>
      </w:tr>
      <w:tr>
        <w:tc>
          <w:tcPr>
            <w:vAlign w:val="center"/>
          </w:tcPr>
          <w:p>
            <w:pPr>
              <w:jc w:val="center"/>
            </w:pPr>
            <w:r>
              <w:rPr>
                <w:rFonts w:eastAsiaTheme="minorEastAsia"/>
                <w:color w:val="000000"/>
                <w:sz w:val="24"/>
              </w:rPr>
              <w:t>10</w:t>
            </w:r>
          </w:p>
        </w:tc>
        <w:tc>
          <w:tcPr>
            <w:vAlign w:val="center"/>
          </w:tcPr>
          <w:p>
            <w:pPr>
              <w:jc w:val="center"/>
            </w:pPr>
            <w:r>
              <w:rPr>
                <w:rFonts w:eastAsiaTheme="minorEastAsia"/>
                <w:color w:val="000000"/>
                <w:sz w:val="24"/>
              </w:rPr>
              <w:t>123023</w:t>
            </w:r>
          </w:p>
        </w:tc>
        <w:tc>
          <w:tcPr>
            <w:vAlign w:val="center"/>
          </w:tcPr>
          <w:p>
            <w:pPr>
              <w:jc w:val="center"/>
            </w:pPr>
            <w:r>
              <w:rPr>
                <w:rFonts w:eastAsiaTheme="minorEastAsia"/>
                <w:color w:val="000000"/>
                <w:sz w:val="24"/>
              </w:rPr>
              <w:t>迪森转债</w:t>
            </w:r>
          </w:p>
        </w:tc>
        <w:tc>
          <w:tcPr>
            <w:vAlign w:val="center"/>
          </w:tcPr>
          <w:p>
            <w:pPr>
              <w:jc w:val="right"/>
            </w:pPr>
            <w:r>
              <w:rPr>
                <w:rFonts w:eastAsiaTheme="minorEastAsia"/>
                <w:color w:val="000000"/>
                <w:sz w:val="24"/>
              </w:rPr>
              <w:t>1,461,183.00</w:t>
            </w:r>
          </w:p>
        </w:tc>
        <w:tc>
          <w:tcPr>
            <w:vAlign w:val="center"/>
          </w:tcPr>
          <w:p>
            <w:pPr>
              <w:jc w:val="right"/>
            </w:pPr>
            <w:r>
              <w:rPr>
                <w:rFonts w:eastAsiaTheme="minorEastAsia"/>
                <w:color w:val="000000"/>
                <w:sz w:val="24"/>
              </w:rPr>
              <w:t>0.95</w:t>
            </w:r>
          </w:p>
        </w:tc>
      </w:tr>
      <w:tr>
        <w:tc>
          <w:tcPr>
            <w:vAlign w:val="center"/>
          </w:tcPr>
          <w:p>
            <w:pPr>
              <w:jc w:val="center"/>
            </w:pPr>
            <w:r>
              <w:rPr>
                <w:rFonts w:eastAsiaTheme="minorEastAsia"/>
                <w:color w:val="000000"/>
                <w:sz w:val="24"/>
              </w:rPr>
              <w:t>11</w:t>
            </w:r>
          </w:p>
        </w:tc>
        <w:tc>
          <w:tcPr>
            <w:vAlign w:val="center"/>
          </w:tcPr>
          <w:p>
            <w:pPr>
              <w:jc w:val="center"/>
            </w:pPr>
            <w:r>
              <w:rPr>
                <w:rFonts w:eastAsiaTheme="minorEastAsia"/>
                <w:color w:val="000000"/>
                <w:sz w:val="24"/>
              </w:rPr>
              <w:t>113511</w:t>
            </w:r>
          </w:p>
        </w:tc>
        <w:tc>
          <w:tcPr>
            <w:vAlign w:val="center"/>
          </w:tcPr>
          <w:p>
            <w:pPr>
              <w:jc w:val="center"/>
            </w:pPr>
            <w:r>
              <w:rPr>
                <w:rFonts w:eastAsiaTheme="minorEastAsia"/>
                <w:color w:val="000000"/>
                <w:sz w:val="24"/>
              </w:rPr>
              <w:t>千禾转债</w:t>
            </w:r>
          </w:p>
        </w:tc>
        <w:tc>
          <w:tcPr>
            <w:vAlign w:val="center"/>
          </w:tcPr>
          <w:p>
            <w:pPr>
              <w:jc w:val="right"/>
            </w:pPr>
            <w:r>
              <w:rPr>
                <w:rFonts w:eastAsiaTheme="minorEastAsia"/>
                <w:color w:val="000000"/>
                <w:sz w:val="24"/>
              </w:rPr>
              <w:t>767,604.40</w:t>
            </w:r>
          </w:p>
        </w:tc>
        <w:tc>
          <w:tcPr>
            <w:vAlign w:val="center"/>
          </w:tcPr>
          <w:p>
            <w:pPr>
              <w:jc w:val="right"/>
            </w:pPr>
            <w:r>
              <w:rPr>
                <w:rFonts w:eastAsiaTheme="minorEastAsia"/>
                <w:color w:val="000000"/>
                <w:sz w:val="24"/>
              </w:rPr>
              <w:t>0.50</w:t>
            </w:r>
          </w:p>
        </w:tc>
      </w:tr>
    </w:tbl>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交银双利债券A/B</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交银双利债券C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113,933,978.70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10,318,921.74</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16,545,008.45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1,226,377.36</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14,363,849.52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3,018,117.54</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116,115,137.63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8,527,181.56</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23,491,777.60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23,491,777.60</w:t>
            </w:r>
          </w:p>
        </w:tc>
        <w:tc>
          <w:tcPr>
            <w:vAlign w:val="center"/>
          </w:tcPr>
          <w:p>
            <w:pPr>
              <w:jc w:val="center"/>
            </w:pPr>
            <w:r>
              <w:rPr>
                <w:rFonts w:ascii="宋体" w:hAnsi="宋体" w:hint="eastAsia"/>
                <w:color w:val="000000"/>
                <w:kern w:val="0"/>
                <w:szCs w:val="21"/>
              </w:rPr>
              <w:t>18.85%</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8.2 影响投资者决策的其他重要信息</w:t>
      </w:r>
    </w:p>
    <w:p w:rsidP="00ED0E09" w:rsidR="00ED0E09" w:rsidRDefault="00ED0E09">
      <w:pPr>
        <w:spacing w:line="360" w:lineRule="auto"/>
        <w:ind w:firstLine="420" w:firstLineChars="20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7C14DF" w:rsidR="00BB1033" w:rsidRDefault="00BB1033" w:rsidRPr="007F52FA">
      <w:pPr>
        <w:spacing w:before="29" w:line="288" w:lineRule="auto"/>
        <w:ind w:firstLine="480" w:firstLineChars="200"/>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1、中国证监会批准交银施罗德双利债券证券投资基金募集的文件；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2、《交银施罗德双利债券证券投资基金基金合同》；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3、《交银施罗德双利债券证券投资基金招募说明书》；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4、《交银施罗德双利债券证券投资基金托管协议》；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5、关于募集交银施罗德双利债券证券投资基金之法律意见书；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8、报告期内交银施罗德双利债券证券投资基金在指定报刊上各项公告的原稿。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653" w:rsidRDefault="000C4653">
      <w:r>
        <w:separator/>
      </w:r>
    </w:p>
  </w:endnote>
  <w:endnote w:type="continuationSeparator" w:id="0">
    <w:p w:rsidR="000C4653" w:rsidRDefault="000C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A5793">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A5793">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0C4653" w:rsidRDefault="000C4653">
      <w:r>
        <w:separator/>
      </w:r>
    </w:p>
  </w:footnote>
  <w:footnote w:id="0" w:type="continuationSeparator">
    <w:p w:rsidR="000C4653" w:rsidRDefault="000C4653">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交银施罗德双利债券证券投资基金2019年第4季度报告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5424C-2D01-4B90-A923-78EEFAAC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240</TotalTime>
  <Pages>27</Pages>
  <Words>4278</Words>
  <Characters>24388</Characters>
  <Application>Microsoft Office Word</Application>
  <DocSecurity>0</DocSecurity>
  <Lines>203</Lines>
  <Paragraphs>57</Paragraphs>
  <ScaleCrop>false</ScaleCrop>
  <Company>TRT. Ltd. Co.</Company>
  <LinksUpToDate>false</LinksUpToDate>
  <CharactersWithSpaces>28609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2019-11-26T02:16:00Z</dcterms:modified>
  <cp:revision>402</cp:revision>
</cp:coreProperties>
</file>