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交银施罗德稳健配置混合型证券投资基金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2006年6月14日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2,589,193,618.64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65%×MSCI中国A股指数+35%×中证综合债券指数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207,945,363.67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404,397,242.78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0.1391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3,429,271,217.97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1.3245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12.07%</w:t>
            </w:r>
          </w:p>
        </w:tc>
        <w:tc>
          <w:tcPr>
            <w:vAlign w:val="center"/>
          </w:tcPr>
          <w:p>
            <w:pPr>
              <w:jc w:val="center"/>
            </w:pPr>
            <w:r>
              <w:rPr>
                <w:color w:val="000000"/>
                <w:sz w:val="24"/>
                <w:szCs w:val="24"/>
              </w:rPr>
              <w:t>0.78%</w:t>
            </w:r>
          </w:p>
        </w:tc>
        <w:tc>
          <w:tcPr>
            <w:vAlign w:val="center"/>
          </w:tcPr>
          <w:p>
            <w:pPr>
              <w:jc w:val="center"/>
            </w:pPr>
            <w:r>
              <w:rPr>
                <w:color w:val="000000"/>
                <w:sz w:val="24"/>
                <w:szCs w:val="24"/>
              </w:rPr>
              <w:t>5.39%</w:t>
            </w:r>
          </w:p>
        </w:tc>
        <w:tc>
          <w:tcPr>
            <w:vAlign w:val="center"/>
          </w:tcPr>
          <w:p>
            <w:pPr>
              <w:jc w:val="center"/>
            </w:pPr>
            <w:r>
              <w:rPr>
                <w:color w:val="000000"/>
                <w:sz w:val="24"/>
                <w:szCs w:val="24"/>
              </w:rPr>
              <w:t>0.49%</w:t>
            </w:r>
          </w:p>
        </w:tc>
        <w:tc>
          <w:tcPr>
            <w:vAlign w:val="center"/>
          </w:tcPr>
          <w:p>
            <w:pPr>
              <w:jc w:val="center"/>
            </w:pPr>
            <w:r>
              <w:rPr>
                <w:color w:val="000000"/>
                <w:sz w:val="24"/>
                <w:szCs w:val="24"/>
              </w:rPr>
              <w:t>6.68%</w:t>
            </w:r>
          </w:p>
        </w:tc>
        <w:tc>
          <w:tcPr>
            <w:vAlign w:val="center"/>
          </w:tcPr>
          <w:p>
            <w:pPr>
              <w:jc w:val="center"/>
            </w:pPr>
            <w:r>
              <w:rPr>
                <w:color w:val="000000"/>
                <w:sz w:val="24"/>
                <w:szCs w:val="24"/>
              </w:rPr>
              <w:t>0.29%</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2013年7月1日起，由“65%×MSCI中国A股指数+35%×新华巴克莱资本中国全债指数”变更为“65%×MSCI中国A股指数+35%×中信标普全债指数”，3.2.2同。详情见本基金管理人于2013年6月26日发布的《交银施罗德基金管理有限公司关于变更交银施罗德稳健配置混合型证券投资基金业绩比较基准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基金业绩比较基准自2015年10月1日起，由“65%×MSCI中国A股指数+35%×中信标普全债指数”变更为“65%×MSCI中国A股指数+35%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交银施罗德稳健配置混合型证券投资基金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2006年6月14日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陈孜铎</w:t>
            </w:r>
          </w:p>
        </w:tc>
        <w:tc>
          <w:tcPr>
            <w:vAlign w:val="center"/>
          </w:tcPr>
          <w:p>
            <w:pPr>
              <w:jc w:val="center"/>
            </w:pPr>
            <w:r>
              <w:rPr>
                <w:color w:val="000000"/>
                <w:sz w:val="24"/>
                <w:szCs w:val="24"/>
              </w:rPr>
              <w:t>交银稳健配置混合的基金经理，公司研究部助理总经理</w:t>
            </w:r>
          </w:p>
        </w:tc>
        <w:tc>
          <w:tcPr>
            <w:vAlign w:val="center"/>
          </w:tcPr>
          <w:p>
            <w:pPr>
              <w:jc w:val="center"/>
            </w:pPr>
            <w:r>
              <w:rPr>
                <w:color w:val="000000"/>
                <w:sz w:val="24"/>
                <w:szCs w:val="24"/>
              </w:rPr>
              <w:t>2018-07-04</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陈孜铎先生，清华大学材料科学与工程硕士。2008年加入交银施罗德基金管理有限公司，历任行业分析师、高级研究员。2014年10月22日至2019年1月28日担任交银施罗德蓝筹混合型证券投资基金的基金经理。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整个A股市场震荡反弹。随着四季度经济缓慢下行，稳增长预期和货币、财政政策松动的方向进一步得到确认。中美贸易摩擦形势有所缓解，促使短期高科技板块风险偏好继续回升，同时传统行业随着库存持续下降和对基本面阶段性的预期改善，股价也有所表现。</w:t>
      </w:r>
    </w:p>
    <w:p>
      <w:pPr>
        <w:spacing w:before="29" w:line="288" w:lineRule="auto"/>
        <w:ind w:firstLine="480" w:firstLineChars="200"/>
        <w:rPr>
          <w:color w:val="000000"/>
          <w:sz w:val="24"/>
          <w:szCs w:val="24"/>
        </w:rPr>
      </w:pPr>
      <w:r>
        <w:rPr>
          <w:color w:val="000000"/>
          <w:sz w:val="24"/>
          <w:szCs w:val="24"/>
        </w:rPr>
        <w:t>在上述市场环境中，本基金整体适度调整组合结构，继续以绝对收益为主要目标，努力排除市场不确定性的扰动，在四季度取得一定绝对收益。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作为全面建成小康社会的收官之年，在经济总体平稳增长的大环境下，整个中国经济的中期发展方向会出现新的预期和判断，各个行业的中期发展也会有新的展望，值得关注与深入思考。未来贸易摩擦形势的波动预计将更加常态化，中美第一阶段协议达成之后，在更长的时间尺度内两国加剧的竞争形势依然会对市场有持续的影响。此外，在今明两年经济见底之后，中国经济体发展由解决周期性问题向解决结构性问题过渡的进程也更为迫切。短期明年经济增长的预期正在逐渐形成，经济下行风险有限。在当前市场环境下，本基金将更为关注传统行业中在周期波动中竞争优势凸显价值被低估、行业地位突出的公司，在转型过程中更关注长期前景的中微观路径日渐明晰的公司，积极寻找投资机会，力求持续稳健均衡地创造绝对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2,975,644,893.85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2,975,644,893.85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203,962,261.38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203,962,261.38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266,463,644.24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6,775,927.59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3,452,846,727.06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21,752,986.19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44,355,147.30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1,131,322,756.79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97,571,349.04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11,910,000.00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37,190,000.00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302,435,923.02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205,399,430.89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932,794,313.54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299,909.04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35,760,000.00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154,846,500.00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2,975,644,893.85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86.77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3,699,929</w:t>
            </w:r>
          </w:p>
        </w:tc>
        <w:tc>
          <w:tcPr>
            <w:vAlign w:val="center"/>
          </w:tcPr>
          <w:p>
            <w:pPr>
              <w:jc w:val="right"/>
            </w:pPr>
            <w:r>
              <w:rPr>
                <w:color w:val="000000"/>
                <w:sz w:val="24"/>
                <w:szCs w:val="24"/>
              </w:rPr>
              <w:t>242,641,343.82</w:t>
            </w:r>
          </w:p>
        </w:tc>
        <w:tc>
          <w:tcPr>
            <w:vAlign w:val="center"/>
          </w:tcPr>
          <w:p>
            <w:pPr>
              <w:jc w:val="right"/>
            </w:pPr>
            <w:r>
              <w:rPr>
                <w:color w:val="000000"/>
                <w:sz w:val="24"/>
                <w:szCs w:val="24"/>
              </w:rPr>
              <w:t>7.08</w:t>
            </w:r>
          </w:p>
        </w:tc>
      </w:tr>
      <w:tr>
        <w:tc>
          <w:tcPr>
            <w:vAlign w:val="center"/>
          </w:tcPr>
          <w:p>
            <w:pPr>
              <w:jc w:val="center"/>
            </w:pPr>
            <w:r>
              <w:rPr>
                <w:color w:val="000000"/>
                <w:sz w:val="24"/>
                <w:szCs w:val="24"/>
              </w:rPr>
              <w:t>2</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14,190,800</w:t>
            </w:r>
          </w:p>
        </w:tc>
        <w:tc>
          <w:tcPr>
            <w:vAlign w:val="center"/>
          </w:tcPr>
          <w:p>
            <w:pPr>
              <w:jc w:val="right"/>
            </w:pPr>
            <w:r>
              <w:rPr>
                <w:color w:val="000000"/>
                <w:sz w:val="24"/>
                <w:szCs w:val="24"/>
              </w:rPr>
              <w:t>229,607,144.00</w:t>
            </w:r>
          </w:p>
        </w:tc>
        <w:tc>
          <w:tcPr>
            <w:vAlign w:val="center"/>
          </w:tcPr>
          <w:p>
            <w:pPr>
              <w:jc w:val="right"/>
            </w:pPr>
            <w:r>
              <w:rPr>
                <w:color w:val="000000"/>
                <w:sz w:val="24"/>
                <w:szCs w:val="24"/>
              </w:rPr>
              <w:t>6.70</w:t>
            </w:r>
          </w:p>
        </w:tc>
      </w:tr>
      <w:tr>
        <w:tc>
          <w:tcPr>
            <w:vAlign w:val="center"/>
          </w:tcPr>
          <w:p>
            <w:pPr>
              <w:jc w:val="center"/>
            </w:pPr>
            <w:r>
              <w:rPr>
                <w:color w:val="000000"/>
                <w:sz w:val="24"/>
                <w:szCs w:val="24"/>
              </w:rPr>
              <w:t>3</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4,889,969</w:t>
            </w:r>
          </w:p>
        </w:tc>
        <w:tc>
          <w:tcPr>
            <w:vAlign w:val="center"/>
          </w:tcPr>
          <w:p>
            <w:pPr>
              <w:jc w:val="right"/>
            </w:pPr>
            <w:r>
              <w:rPr>
                <w:color w:val="000000"/>
                <w:sz w:val="24"/>
                <w:szCs w:val="24"/>
              </w:rPr>
              <w:t>227,139,060.05</w:t>
            </w:r>
          </w:p>
        </w:tc>
        <w:tc>
          <w:tcPr>
            <w:vAlign w:val="center"/>
          </w:tcPr>
          <w:p>
            <w:pPr>
              <w:jc w:val="right"/>
            </w:pPr>
            <w:r>
              <w:rPr>
                <w:color w:val="000000"/>
                <w:sz w:val="24"/>
                <w:szCs w:val="24"/>
              </w:rPr>
              <w:t>6.62</w:t>
            </w:r>
          </w:p>
        </w:tc>
      </w:tr>
      <w:tr>
        <w:tc>
          <w:tcPr>
            <w:vAlign w:val="center"/>
          </w:tcPr>
          <w:p>
            <w:pPr>
              <w:jc w:val="center"/>
            </w:pPr>
            <w:r>
              <w:rPr>
                <w:color w:val="000000"/>
                <w:sz w:val="24"/>
                <w:szCs w:val="24"/>
              </w:rPr>
              <w:t>4</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6,509,528</w:t>
            </w:r>
          </w:p>
        </w:tc>
        <w:tc>
          <w:tcPr>
            <w:vAlign w:val="center"/>
          </w:tcPr>
          <w:p>
            <w:pPr>
              <w:jc w:val="right"/>
            </w:pPr>
            <w:r>
              <w:rPr>
                <w:color w:val="000000"/>
                <w:sz w:val="24"/>
                <w:szCs w:val="24"/>
              </w:rPr>
              <w:t>209,476,611.04</w:t>
            </w:r>
          </w:p>
        </w:tc>
        <w:tc>
          <w:tcPr>
            <w:vAlign w:val="center"/>
          </w:tcPr>
          <w:p>
            <w:pPr>
              <w:jc w:val="right"/>
            </w:pPr>
            <w:r>
              <w:rPr>
                <w:color w:val="000000"/>
                <w:sz w:val="24"/>
                <w:szCs w:val="24"/>
              </w:rPr>
              <w:t>6.11</w:t>
            </w:r>
          </w:p>
        </w:tc>
      </w:tr>
      <w:tr>
        <w:tc>
          <w:tcPr>
            <w:vAlign w:val="center"/>
          </w:tcPr>
          <w:p>
            <w:pPr>
              <w:jc w:val="center"/>
            </w:pPr>
            <w:r>
              <w:rPr>
                <w:color w:val="000000"/>
                <w:sz w:val="24"/>
                <w:szCs w:val="24"/>
              </w:rPr>
              <w:t>5</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13,326,800</w:t>
            </w:r>
          </w:p>
        </w:tc>
        <w:tc>
          <w:tcPr>
            <w:vAlign w:val="center"/>
          </w:tcPr>
          <w:p>
            <w:pPr>
              <w:jc w:val="right"/>
            </w:pPr>
            <w:r>
              <w:rPr>
                <w:color w:val="000000"/>
                <w:sz w:val="24"/>
                <w:szCs w:val="24"/>
              </w:rPr>
              <w:t>193,238,600.00</w:t>
            </w:r>
          </w:p>
        </w:tc>
        <w:tc>
          <w:tcPr>
            <w:vAlign w:val="center"/>
          </w:tcPr>
          <w:p>
            <w:pPr>
              <w:jc w:val="right"/>
            </w:pPr>
            <w:r>
              <w:rPr>
                <w:color w:val="000000"/>
                <w:sz w:val="24"/>
                <w:szCs w:val="24"/>
              </w:rPr>
              <w:t>5.63</w:t>
            </w:r>
          </w:p>
        </w:tc>
      </w:tr>
      <w:tr>
        <w:tc>
          <w:tcPr>
            <w:vAlign w:val="center"/>
          </w:tcPr>
          <w:p>
            <w:pPr>
              <w:jc w:val="center"/>
            </w:pPr>
            <w:r>
              <w:rPr>
                <w:color w:val="000000"/>
                <w:sz w:val="24"/>
                <w:szCs w:val="24"/>
              </w:rPr>
              <w:t>6</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4,500,000</w:t>
            </w:r>
          </w:p>
        </w:tc>
        <w:tc>
          <w:tcPr>
            <w:vAlign w:val="center"/>
          </w:tcPr>
          <w:p>
            <w:pPr>
              <w:jc w:val="right"/>
            </w:pPr>
            <w:r>
              <w:rPr>
                <w:color w:val="000000"/>
                <w:sz w:val="24"/>
                <w:szCs w:val="24"/>
              </w:rPr>
              <w:t>154,846,500.00</w:t>
            </w:r>
          </w:p>
        </w:tc>
        <w:tc>
          <w:tcPr>
            <w:vAlign w:val="center"/>
          </w:tcPr>
          <w:p>
            <w:pPr>
              <w:jc w:val="right"/>
            </w:pPr>
            <w:r>
              <w:rPr>
                <w:color w:val="000000"/>
                <w:sz w:val="24"/>
                <w:szCs w:val="24"/>
              </w:rPr>
              <w:t>4.52</w:t>
            </w:r>
          </w:p>
        </w:tc>
      </w:tr>
      <w:tr>
        <w:tc>
          <w:tcPr>
            <w:vAlign w:val="center"/>
          </w:tcPr>
          <w:p>
            <w:pPr>
              <w:jc w:val="center"/>
            </w:pPr>
            <w:r>
              <w:rPr>
                <w:color w:val="000000"/>
                <w:sz w:val="24"/>
                <w:szCs w:val="24"/>
              </w:rPr>
              <w:t>7</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14,000,000</w:t>
            </w:r>
          </w:p>
        </w:tc>
        <w:tc>
          <w:tcPr>
            <w:vAlign w:val="center"/>
          </w:tcPr>
          <w:p>
            <w:pPr>
              <w:jc w:val="right"/>
            </w:pPr>
            <w:r>
              <w:rPr>
                <w:color w:val="000000"/>
                <w:sz w:val="24"/>
                <w:szCs w:val="24"/>
              </w:rPr>
              <w:t>147,700,000.00</w:t>
            </w:r>
          </w:p>
        </w:tc>
        <w:tc>
          <w:tcPr>
            <w:vAlign w:val="center"/>
          </w:tcPr>
          <w:p>
            <w:pPr>
              <w:jc w:val="right"/>
            </w:pPr>
            <w:r>
              <w:rPr>
                <w:color w:val="000000"/>
                <w:sz w:val="24"/>
                <w:szCs w:val="24"/>
              </w:rPr>
              <w:t>4.31</w:t>
            </w:r>
          </w:p>
        </w:tc>
      </w:tr>
      <w:tr>
        <w:tc>
          <w:tcPr>
            <w:vAlign w:val="center"/>
          </w:tcPr>
          <w:p>
            <w:pPr>
              <w:jc w:val="center"/>
            </w:pPr>
            <w:r>
              <w:rPr>
                <w:color w:val="000000"/>
                <w:sz w:val="24"/>
                <w:szCs w:val="24"/>
              </w:rPr>
              <w:t>8</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11,002,780</w:t>
            </w:r>
          </w:p>
        </w:tc>
        <w:tc>
          <w:tcPr>
            <w:vAlign w:val="center"/>
          </w:tcPr>
          <w:p>
            <w:pPr>
              <w:jc w:val="right"/>
            </w:pPr>
            <w:r>
              <w:rPr>
                <w:color w:val="000000"/>
                <w:sz w:val="24"/>
                <w:szCs w:val="24"/>
              </w:rPr>
              <w:t>135,114,138.40</w:t>
            </w:r>
          </w:p>
        </w:tc>
        <w:tc>
          <w:tcPr>
            <w:vAlign w:val="center"/>
          </w:tcPr>
          <w:p>
            <w:pPr>
              <w:jc w:val="right"/>
            </w:pPr>
            <w:r>
              <w:rPr>
                <w:color w:val="000000"/>
                <w:sz w:val="24"/>
                <w:szCs w:val="24"/>
              </w:rPr>
              <w:t>3.94</w:t>
            </w:r>
          </w:p>
        </w:tc>
      </w:tr>
      <w:tr>
        <w:tc>
          <w:tcPr>
            <w:vAlign w:val="center"/>
          </w:tcPr>
          <w:p>
            <w:pPr>
              <w:jc w:val="center"/>
            </w:pPr>
            <w:r>
              <w:rPr>
                <w:color w:val="000000"/>
                <w:sz w:val="24"/>
                <w:szCs w:val="24"/>
              </w:rPr>
              <w:t>9</w:t>
            </w:r>
          </w:p>
        </w:tc>
        <w:tc>
          <w:tcPr>
            <w:vAlign w:val="center"/>
          </w:tcPr>
          <w:p>
            <w:pPr>
              <w:jc w:val="center"/>
            </w:pPr>
            <w:r>
              <w:rPr>
                <w:color w:val="000000"/>
                <w:sz w:val="24"/>
                <w:szCs w:val="24"/>
              </w:rPr>
              <w:t>688188</w:t>
            </w:r>
          </w:p>
        </w:tc>
        <w:tc>
          <w:tcPr>
            <w:vAlign w:val="center"/>
          </w:tcPr>
          <w:p>
            <w:pPr>
              <w:jc w:val="center"/>
            </w:pPr>
            <w:r>
              <w:rPr>
                <w:color w:val="000000"/>
                <w:sz w:val="24"/>
                <w:szCs w:val="24"/>
              </w:rPr>
              <w:t>柏楚电子</w:t>
            </w:r>
          </w:p>
        </w:tc>
        <w:tc>
          <w:tcPr>
            <w:vAlign w:val="center"/>
          </w:tcPr>
          <w:p>
            <w:pPr>
              <w:jc w:val="right"/>
            </w:pPr>
            <w:r>
              <w:rPr>
                <w:color w:val="000000"/>
                <w:sz w:val="24"/>
                <w:szCs w:val="24"/>
              </w:rPr>
              <w:t>800,152</w:t>
            </w:r>
          </w:p>
        </w:tc>
        <w:tc>
          <w:tcPr>
            <w:vAlign w:val="center"/>
          </w:tcPr>
          <w:p>
            <w:pPr>
              <w:jc w:val="right"/>
            </w:pPr>
            <w:r>
              <w:rPr>
                <w:color w:val="000000"/>
                <w:sz w:val="24"/>
                <w:szCs w:val="24"/>
              </w:rPr>
              <w:t>125,799,897.44</w:t>
            </w:r>
          </w:p>
        </w:tc>
        <w:tc>
          <w:tcPr>
            <w:vAlign w:val="center"/>
          </w:tcPr>
          <w:p>
            <w:pPr>
              <w:jc w:val="right"/>
            </w:pPr>
            <w:r>
              <w:rPr>
                <w:color w:val="000000"/>
                <w:sz w:val="24"/>
                <w:szCs w:val="24"/>
              </w:rPr>
              <w:t>3.67</w:t>
            </w:r>
          </w:p>
        </w:tc>
      </w:tr>
      <w:tr>
        <w:tc>
          <w:tcPr>
            <w:vAlign w:val="center"/>
          </w:tcPr>
          <w:p>
            <w:pPr>
              <w:jc w:val="center"/>
            </w:pPr>
            <w:r>
              <w:rPr>
                <w:color w:val="000000"/>
                <w:sz w:val="24"/>
                <w:szCs w:val="24"/>
              </w:rPr>
              <w:t>10</w:t>
            </w:r>
          </w:p>
        </w:tc>
        <w:tc>
          <w:tcPr>
            <w:vAlign w:val="center"/>
          </w:tcPr>
          <w:p>
            <w:pPr>
              <w:jc w:val="center"/>
            </w:pPr>
            <w:r>
              <w:rPr>
                <w:color w:val="000000"/>
                <w:sz w:val="24"/>
                <w:szCs w:val="24"/>
              </w:rPr>
              <w:t>300724</w:t>
            </w:r>
          </w:p>
        </w:tc>
        <w:tc>
          <w:tcPr>
            <w:vAlign w:val="center"/>
          </w:tcPr>
          <w:p>
            <w:pPr>
              <w:jc w:val="center"/>
            </w:pPr>
            <w:r>
              <w:rPr>
                <w:color w:val="000000"/>
                <w:sz w:val="24"/>
                <w:szCs w:val="24"/>
              </w:rPr>
              <w:t>捷佳伟创</w:t>
            </w:r>
          </w:p>
        </w:tc>
        <w:tc>
          <w:tcPr>
            <w:vAlign w:val="center"/>
          </w:tcPr>
          <w:p>
            <w:pPr>
              <w:jc w:val="right"/>
            </w:pPr>
            <w:r>
              <w:rPr>
                <w:color w:val="000000"/>
                <w:sz w:val="24"/>
                <w:szCs w:val="24"/>
              </w:rPr>
              <w:t>3,309,779</w:t>
            </w:r>
          </w:p>
        </w:tc>
        <w:tc>
          <w:tcPr>
            <w:vAlign w:val="center"/>
          </w:tcPr>
          <w:p>
            <w:pPr>
              <w:jc w:val="right"/>
            </w:pPr>
            <w:r>
              <w:rPr>
                <w:color w:val="000000"/>
                <w:sz w:val="24"/>
                <w:szCs w:val="24"/>
              </w:rPr>
              <w:t>125,407,526.31</w:t>
            </w:r>
          </w:p>
        </w:tc>
        <w:tc>
          <w:tcPr>
            <w:vAlign w:val="center"/>
          </w:tcPr>
          <w:p>
            <w:pPr>
              <w:jc w:val="right"/>
            </w:pPr>
            <w:r>
              <w:rPr>
                <w:color w:val="000000"/>
                <w:sz w:val="24"/>
                <w:szCs w:val="24"/>
              </w:rPr>
              <w:t>3.66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200,296,000.00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200,296,000.00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3,666,261.38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0.11</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203,962,261.38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5.95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1,200,000</w:t>
            </w:r>
          </w:p>
        </w:tc>
        <w:tc>
          <w:tcPr>
            <w:vAlign w:val="center"/>
          </w:tcPr>
          <w:p>
            <w:pPr>
              <w:jc w:val="right"/>
            </w:pPr>
            <w:r>
              <w:rPr>
                <w:color w:val="000000"/>
                <w:sz w:val="24"/>
                <w:szCs w:val="24"/>
              </w:rPr>
              <w:t>120,192,000.00</w:t>
            </w:r>
          </w:p>
        </w:tc>
        <w:tc>
          <w:tcPr>
            <w:vAlign w:val="center"/>
          </w:tcPr>
          <w:p>
            <w:pPr>
              <w:jc w:val="right"/>
            </w:pPr>
            <w:r>
              <w:rPr>
                <w:color w:val="000000"/>
                <w:sz w:val="24"/>
                <w:szCs w:val="24"/>
              </w:rPr>
              <w:t>3.50</w:t>
            </w:r>
          </w:p>
        </w:tc>
      </w:tr>
      <w:tr>
        <w:tc>
          <w:tcPr>
            <w:vAlign w:val="center"/>
          </w:tcPr>
          <w:p>
            <w:pPr>
              <w:jc w:val="center"/>
            </w:pPr>
            <w:r>
              <w:rPr>
                <w:color w:val="000000"/>
                <w:sz w:val="24"/>
                <w:szCs w:val="24"/>
              </w:rPr>
              <w:t>2</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800,000</w:t>
            </w:r>
          </w:p>
        </w:tc>
        <w:tc>
          <w:tcPr>
            <w:vAlign w:val="center"/>
          </w:tcPr>
          <w:p>
            <w:pPr>
              <w:jc w:val="right"/>
            </w:pPr>
            <w:r>
              <w:rPr>
                <w:color w:val="000000"/>
                <w:sz w:val="24"/>
                <w:szCs w:val="24"/>
              </w:rPr>
              <w:t>80,104,000.00</w:t>
            </w:r>
          </w:p>
        </w:tc>
        <w:tc>
          <w:tcPr>
            <w:vAlign w:val="center"/>
          </w:tcPr>
          <w:p>
            <w:pPr>
              <w:jc w:val="right"/>
            </w:pPr>
            <w:r>
              <w:rPr>
                <w:color w:val="000000"/>
                <w:sz w:val="24"/>
                <w:szCs w:val="24"/>
              </w:rPr>
              <w:t>2.34</w:t>
            </w:r>
          </w:p>
        </w:tc>
      </w:tr>
      <w:tr>
        <w:tc>
          <w:tcPr>
            <w:vAlign w:val="center"/>
          </w:tcPr>
          <w:p>
            <w:pPr>
              <w:jc w:val="center"/>
            </w:pPr>
            <w:r>
              <w:rPr>
                <w:color w:val="000000"/>
                <w:sz w:val="24"/>
                <w:szCs w:val="24"/>
              </w:rPr>
              <w:t>3</w:t>
            </w:r>
          </w:p>
        </w:tc>
        <w:tc>
          <w:tcPr>
            <w:vAlign w:val="center"/>
          </w:tcPr>
          <w:p>
            <w:pPr>
              <w:jc w:val="center"/>
            </w:pPr>
            <w:r>
              <w:rPr>
                <w:color w:val="000000"/>
                <w:sz w:val="24"/>
                <w:szCs w:val="24"/>
              </w:rPr>
              <w:t>128035</w:t>
            </w:r>
          </w:p>
        </w:tc>
        <w:tc>
          <w:tcPr>
            <w:vAlign w:val="center"/>
          </w:tcPr>
          <w:p>
            <w:pPr>
              <w:jc w:val="center"/>
            </w:pPr>
            <w:r>
              <w:rPr>
                <w:color w:val="000000"/>
                <w:sz w:val="24"/>
                <w:szCs w:val="24"/>
              </w:rPr>
              <w:t>大族转债</w:t>
            </w:r>
          </w:p>
        </w:tc>
        <w:tc>
          <w:tcPr>
            <w:vAlign w:val="center"/>
          </w:tcPr>
          <w:p>
            <w:pPr>
              <w:jc w:val="right"/>
            </w:pPr>
            <w:r>
              <w:rPr>
                <w:color w:val="000000"/>
                <w:sz w:val="24"/>
                <w:szCs w:val="24"/>
              </w:rPr>
              <w:t>31,514</w:t>
            </w:r>
          </w:p>
        </w:tc>
        <w:tc>
          <w:tcPr>
            <w:vAlign w:val="center"/>
          </w:tcPr>
          <w:p>
            <w:pPr>
              <w:jc w:val="right"/>
            </w:pPr>
            <w:r>
              <w:rPr>
                <w:color w:val="000000"/>
                <w:sz w:val="24"/>
                <w:szCs w:val="24"/>
              </w:rPr>
              <w:t>3,663,817.64</w:t>
            </w:r>
          </w:p>
        </w:tc>
        <w:tc>
          <w:tcPr>
            <w:vAlign w:val="center"/>
          </w:tcPr>
          <w:p>
            <w:pPr>
              <w:jc w:val="right"/>
            </w:pPr>
            <w:r>
              <w:rPr>
                <w:color w:val="000000"/>
                <w:sz w:val="24"/>
                <w:szCs w:val="24"/>
              </w:rPr>
              <w:t>0.11</w:t>
            </w:r>
          </w:p>
        </w:tc>
      </w:tr>
      <w:tr>
        <w:tc>
          <w:tcPr>
            <w:vAlign w:val="center"/>
          </w:tcPr>
          <w:p>
            <w:pPr>
              <w:jc w:val="center"/>
            </w:pPr>
            <w:r>
              <w:rPr>
                <w:color w:val="000000"/>
                <w:sz w:val="24"/>
                <w:szCs w:val="24"/>
              </w:rPr>
              <w:t>4</w:t>
            </w:r>
          </w:p>
        </w:tc>
        <w:tc>
          <w:tcPr>
            <w:vAlign w:val="center"/>
          </w:tcPr>
          <w:p>
            <w:pPr>
              <w:jc w:val="center"/>
            </w:pPr>
            <w:r>
              <w:rPr>
                <w:color w:val="000000"/>
                <w:sz w:val="24"/>
                <w:szCs w:val="24"/>
              </w:rPr>
              <w:t>128023</w:t>
            </w:r>
          </w:p>
        </w:tc>
        <w:tc>
          <w:tcPr>
            <w:vAlign w:val="center"/>
          </w:tcPr>
          <w:p>
            <w:pPr>
              <w:jc w:val="center"/>
            </w:pPr>
            <w:r>
              <w:rPr>
                <w:color w:val="000000"/>
                <w:sz w:val="24"/>
                <w:szCs w:val="24"/>
              </w:rPr>
              <w:t>亚太转债</w:t>
            </w:r>
          </w:p>
        </w:tc>
        <w:tc>
          <w:tcPr>
            <w:vAlign w:val="center"/>
          </w:tcPr>
          <w:p>
            <w:pPr>
              <w:jc w:val="right"/>
            </w:pPr>
            <w:r>
              <w:rPr>
                <w:color w:val="000000"/>
                <w:sz w:val="24"/>
                <w:szCs w:val="24"/>
              </w:rPr>
              <w:t>26</w:t>
            </w:r>
          </w:p>
        </w:tc>
        <w:tc>
          <w:tcPr>
            <w:vAlign w:val="center"/>
          </w:tcPr>
          <w:p>
            <w:pPr>
              <w:jc w:val="right"/>
            </w:pPr>
            <w:r>
              <w:rPr>
                <w:color w:val="000000"/>
                <w:sz w:val="24"/>
                <w:szCs w:val="24"/>
              </w:rPr>
              <w:t>2,443.74</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1,499,606.86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3,321,661.73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1,954,659.00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6,775,927.59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128035</w:t>
            </w:r>
          </w:p>
        </w:tc>
        <w:tc>
          <w:tcPr>
            <w:vAlign w:val="center"/>
          </w:tcPr>
          <w:p>
            <w:pPr>
              <w:jc w:val="center"/>
            </w:pPr>
            <w:r>
              <w:rPr>
                <w:color w:val="000000"/>
                <w:sz w:val="24"/>
                <w:szCs w:val="24"/>
              </w:rPr>
              <w:t>大族转债</w:t>
            </w:r>
          </w:p>
        </w:tc>
        <w:tc>
          <w:tcPr>
            <w:vAlign w:val="center"/>
          </w:tcPr>
          <w:p>
            <w:pPr>
              <w:jc w:val="right"/>
            </w:pPr>
            <w:r>
              <w:rPr>
                <w:color w:val="000000"/>
                <w:sz w:val="24"/>
                <w:szCs w:val="24"/>
              </w:rPr>
              <w:t>3,663,817.64</w:t>
            </w:r>
          </w:p>
        </w:tc>
        <w:tc>
          <w:tcPr>
            <w:vAlign w:val="center"/>
          </w:tcPr>
          <w:p>
            <w:pPr>
              <w:jc w:val="right"/>
            </w:pPr>
            <w:r>
              <w:rPr>
                <w:color w:val="000000"/>
                <w:sz w:val="24"/>
                <w:szCs w:val="24"/>
              </w:rPr>
              <w:t>0.11</w:t>
            </w:r>
          </w:p>
        </w:tc>
      </w:tr>
      <w:tr>
        <w:tc>
          <w:tcPr>
            <w:vAlign w:val="center"/>
          </w:tcPr>
          <w:p>
            <w:pPr>
              <w:jc w:val="center"/>
            </w:pPr>
            <w:r>
              <w:rPr>
                <w:color w:val="000000"/>
                <w:sz w:val="24"/>
                <w:szCs w:val="24"/>
              </w:rPr>
              <w:t>2</w:t>
            </w:r>
          </w:p>
        </w:tc>
        <w:tc>
          <w:tcPr>
            <w:vAlign w:val="center"/>
          </w:tcPr>
          <w:p>
            <w:pPr>
              <w:jc w:val="center"/>
            </w:pPr>
            <w:r>
              <w:rPr>
                <w:color w:val="000000"/>
                <w:sz w:val="24"/>
                <w:szCs w:val="24"/>
              </w:rPr>
              <w:t>128023</w:t>
            </w:r>
          </w:p>
        </w:tc>
        <w:tc>
          <w:tcPr>
            <w:vAlign w:val="center"/>
          </w:tcPr>
          <w:p>
            <w:pPr>
              <w:jc w:val="center"/>
            </w:pPr>
            <w:r>
              <w:rPr>
                <w:color w:val="000000"/>
                <w:sz w:val="24"/>
                <w:szCs w:val="24"/>
              </w:rPr>
              <w:t>亚太转债</w:t>
            </w:r>
          </w:p>
        </w:tc>
        <w:tc>
          <w:tcPr>
            <w:vAlign w:val="center"/>
          </w:tcPr>
          <w:p>
            <w:pPr>
              <w:jc w:val="right"/>
            </w:pPr>
            <w:r>
              <w:rPr>
                <w:color w:val="000000"/>
                <w:sz w:val="24"/>
                <w:szCs w:val="24"/>
              </w:rPr>
              <w:t>2,443.74</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86,674,500.00</w:t>
            </w:r>
          </w:p>
        </w:tc>
        <w:tc>
          <w:tcPr>
            <w:vAlign w:val="center"/>
          </w:tcPr>
          <w:p>
            <w:pPr>
              <w:jc w:val="right"/>
            </w:pPr>
            <w:r>
              <w:rPr>
                <w:color w:val="000000"/>
                <w:sz w:val="24"/>
                <w:szCs w:val="24"/>
              </w:rPr>
              <w:t>2.53</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3,126,476,203.34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44,557,587.51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581,840,172.21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2,589,193,618.64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1、中国证监会批准交银施罗德稳健配置混合型证券投资基金募集的文件；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2、《交银施罗德稳健配置混合型证券投资基金基金合同》； </w:t>
      </w:r>
    </w:p>
    <w:p>
      <w:pPr>
        <w:spacing w:before="29" w:line="288" w:lineRule="auto"/>
        <w:ind w:firstLine="480" w:firstLineChars="200"/>
        <w:rPr>
          <w:color w:val="000000"/>
          <w:sz w:val="24"/>
          <w:szCs w:val="24"/>
        </w:rPr>
      </w:pPr>
      <w:r>
        <w:rPr>
          <w:color w:val="000000"/>
          <w:sz w:val="24"/>
          <w:szCs w:val="24"/>
        </w:rPr>
        <w:t>3、《交银施罗德稳健配置混合型证券投资基金招募说明书》；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4、《交银施罗德稳健配置混合型证券投资基金托管协议》；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5、关于募集交银施罗德稳健配置混合型证券投资基金之法律意见书；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8、报告期内交银施罗德稳健配置混合型证券投资基金在指定报刊上各项公告的原稿。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交银施罗德稳健配置混合型证券投资基金2019年第4季度报告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