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交银施罗德裕隆纯债债券型证券投资基金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2019年第3季度报告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2019年9月30日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中国邮政储蓄银行股份有限公司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二〇一九年十月二十二日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基金托管人中国邮政储蓄银行股份有限公司根据本基金合同规定，于2019年10月21日复核了本报告中的财务指标、净值表现和投资组合报告等内容，保证复核内容不存在虚假记载、误导性陈述或者重大遗漏。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本报告期自2019年7月1日起至9月30日止。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交银裕隆纯债债券</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519782</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2016年11月28日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826,532,064.01</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本基金在严格控制风险和保持资产流动性的基础上，通过积极主动的投资管理，力争持续稳定地实现超越业绩比较基准的投资回报。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对宏观经济运行趋势、财政以及货币政策变化趋势作出分析和判断，对未来市场利率趋势及市场信用环境变化作出预测，动态调整大类金融资产比例，自上而下决定债券组合久期、期限结构、债券类别配置策略，在严谨深入的分析和严格的风险控制基础上，综合考虑经济变量的变动对不同券种收益率、信用趋势和风险的潜在影响，深入挖掘价值被低估的标的券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中债综合全价指数收益率</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中国邮政储蓄银行股份有限公司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交银裕隆纯债债券A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交银裕隆纯债债券C</w:t>
            </w:r>
          </w:p>
        </w:tc>
      </w:tr>
      <w:tr w:rsidR="00C23B30" w:rsidRPr="007F52FA" w:rsidTr="009416C9">
        <w:trPr>
          <w:jc w:val="center"/>
        </w:trPr>
        <w:tc>
          <w:tcPr>
            <w:tcW w:type="dxa" w:w="3023"/>
            <w:vAlign w:val="center"/>
          </w:tcPr>
          <w:p w:rsidP="007C14DF" w:rsidR="00C23B30" w:rsidRDefault="007C3DC6">
            <w:pPr>
              <w:adjustRightInd w:val="0"/>
              <w:spacing w:before="29" w:line="288" w:lineRule="auto"/>
              <w:ind w:left="17"/>
              <w:jc w:val="left"/>
              <w:rPr>
                <w:color w:val="000000"/>
                <w:sz w:val="24"/>
              </w:rPr>
            </w:pPr>
            <w:r w:rsidRPr="007F52FA">
              <w:rPr>
                <w:color w:val="000000"/>
                <w:sz w:val="24"/>
              </w:rPr>
              <w:t>下属两级基金的交易代码</w:t>
            </w:r>
          </w:p>
          <w:p w:rsidP="00C01EF2" w:rsidR="00C01EF2" w:rsidRDefault="00C01EF2" w:rsidRPr="007F52FA">
            <w:pPr>
              <w:adjustRightInd w:val="0"/>
              <w:spacing w:before="29" w:line="288" w:lineRule="auto"/>
              <w:ind w:left="17"/>
              <w:jc w:val="left"/>
              <w:rPr>
                <w:color w:val="000000"/>
                <w:sz w:val="24"/>
              </w:rPr>
            </w:pPr>
            <w:r w:rsidRPr="007F52FA">
              <w:rPr>
                <w:color w:themeColor="text1" w:val="000000"/>
                <w:sz w:val="24"/>
              </w:rPr>
              <w:t/>
            </w:r>
            <w:r w:rsidRPr="000E4C40">
              <w:rPr>
                <w:color w:val="000000"/>
                <w:kern w:val="0"/>
                <w:sz w:val="24"/>
              </w:rPr>
              <w:t/>
            </w:r>
            <w:r>
              <w:rPr>
                <w:rFonts w:hint="eastAsia"/>
                <w:color w:val="000000"/>
                <w:kern w:val="0"/>
                <w:sz w:val="24"/>
              </w:rPr>
              <w:t/>
            </w:r>
            <w:r w:rsidRPr="000E4C40">
              <w:rPr>
                <w:sz w:val="24"/>
              </w:rPr>
              <w:t/>
            </w:r>
          </w:p>
        </w:tc>
        <w:tc>
          <w:tcPr>
            <w:tcW w:type="dxa" w:w="2922"/>
            <w:vAlign w:val="center"/>
          </w:tcPr>
          <w:p w:rsidP="007F50FB" w:rsidR="00C23B30" w:rsidRDefault="00C23B30" w:rsidRPr="000E4C40">
            <w:pPr>
              <w:spacing w:before="29" w:line="288" w:lineRule="auto"/>
              <w:jc w:val="left"/>
              <w:rPr>
                <w:sz w:val="24"/>
              </w:rPr>
            </w:pPr>
            <w:r w:rsidRPr="007F52FA">
              <w:rPr>
                <w:color w:themeColor="text1" w:val="000000"/>
                <w:sz w:val="24"/>
              </w:rPr>
              <w:t/>
            </w:r>
            <w:r w:rsidRPr="000E4C40">
              <w:rPr>
                <w:color w:val="000000"/>
                <w:kern w:val="0"/>
                <w:sz w:val="24"/>
              </w:rPr>
              <w:t/>
            </w:r>
            <w:r w:rsidRPr="000E4C40">
              <w:rPr>
                <w:sz w:val="24"/>
              </w:rPr>
              <w:t>519782</w:t>
            </w:r>
          </w:p>
        </w:tc>
        <w:tc>
          <w:tcPr>
            <w:tcW w:type="dxa" w:w="3048"/>
            <w:vAlign w:val="center"/>
          </w:tcPr>
          <w:p w:rsidP="00A52A9E" w:rsidR="00C23B30" w:rsidRDefault="00261F47" w:rsidRPr="000E4C40">
            <w:pPr>
              <w:spacing w:before="29" w:line="288" w:lineRule="auto"/>
              <w:jc w:val="left"/>
              <w:rPr>
                <w:sz w:val="24"/>
              </w:rPr>
            </w:pPr>
            <w:r w:rsidRPr="007F52FA">
              <w:rPr>
                <w:color w:themeColor="text1" w:val="000000"/>
                <w:sz w:val="24"/>
              </w:rPr>
              <w:t/>
            </w:r>
            <w:r w:rsidR="00C23B30" w:rsidRPr="000E4C40">
              <w:rPr>
                <w:color w:val="000000"/>
                <w:kern w:val="0"/>
                <w:sz w:val="24"/>
              </w:rPr>
              <w:t/>
            </w:r>
            <w:r w:rsidR="00C23B30" w:rsidRPr="000E4C40">
              <w:rPr>
                <w:sz w:val="24"/>
              </w:rPr>
              <w:t/>
            </w:r>
            <w:r w:rsidR="00A52A9E">
              <w:rPr>
                <w:sz w:val="24"/>
              </w:rPr>
              <w:t/>
            </w:r>
            <w:r w:rsidR="00C23B30" w:rsidRPr="000E4C40">
              <w:rPr>
                <w:sz w:val="24"/>
              </w:rPr>
              <w:t>519783</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t/>
            </w:r>
            <w:r w:rsidRPr="007F52FA">
              <w:rPr>
                <w:sz w:val="24"/>
              </w:rPr>
              <w:t>675,307,087.87</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t/>
            </w:r>
            <w:r w:rsidRPr="007F52FA">
              <w:rPr>
                <w:sz w:val="24"/>
              </w:rPr>
              <w:t>151,224,976.14</w:t>
            </w:r>
            <w:r w:rsidRPr="007F52FA">
              <w:rPr>
                <w:color w:val="000000"/>
                <w:kern w:val="0"/>
                <w:sz w:val="24"/>
              </w:rPr>
              <w:t>份</w:t>
            </w:r>
          </w:p>
        </w:tc>
      </w:tr>
    </w:tbl>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(2019年7月1日-2019年9月30日)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交银裕隆纯债债券A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交银裕隆纯债债券C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12,861,777.09</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2,565,528.94</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12,241,344.83</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2,380,169.80</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0.0196</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0.0185</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783,515,419.74</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174,663,291.34</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1.1602</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1.1550</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注：1、上述基金业绩指标不包括持有人认购或交易基金的各项费用，计入费用后的实际收益水平要低于所列数字； </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交银裕隆纯债债券A</w:t>
      </w:r>
      <w:r w:rsidRPr="007F52FA">
        <w:rPr>
          <w:b/>
          <w:sz w:val="24"/>
        </w:rPr>
        <w:t>：</w:t>
      </w:r>
    </w:p>
    <w:tbl>
      <w:tblPr>
        <w:tblStyle w:val="af6"/>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1.72%</w:t>
            </w:r>
          </w:p>
        </w:tc>
        <w:tc>
          <w:tcPr>
            <w:vAlign w:val="center"/>
          </w:tcPr>
          <w:p>
            <w:pPr>
              <w:jc w:val="center"/>
            </w:pPr>
            <w:r>
              <w:rPr>
                <w:color w:val="000000"/>
                <w:sz w:val="24"/>
              </w:rPr>
              <w:t>0.02%</w:t>
            </w:r>
          </w:p>
        </w:tc>
        <w:tc>
          <w:tcPr>
            <w:vAlign w:val="center"/>
          </w:tcPr>
          <w:p>
            <w:pPr>
              <w:jc w:val="center"/>
            </w:pPr>
            <w:r>
              <w:rPr>
                <w:color w:val="000000"/>
                <w:sz w:val="24"/>
              </w:rPr>
              <w:t>0.45%</w:t>
            </w:r>
          </w:p>
        </w:tc>
        <w:tc>
          <w:tcPr>
            <w:vAlign w:val="center"/>
          </w:tcPr>
          <w:p>
            <w:pPr>
              <w:jc w:val="center"/>
            </w:pPr>
            <w:r>
              <w:rPr>
                <w:color w:val="000000"/>
                <w:sz w:val="24"/>
              </w:rPr>
              <w:t>0.04%</w:t>
            </w:r>
          </w:p>
        </w:tc>
        <w:tc>
          <w:tcPr>
            <w:vAlign w:val="center"/>
          </w:tcPr>
          <w:p>
            <w:pPr>
              <w:jc w:val="center"/>
            </w:pPr>
            <w:r>
              <w:rPr>
                <w:color w:val="000000"/>
                <w:sz w:val="24"/>
              </w:rPr>
              <w:t>1.27%</w:t>
            </w:r>
          </w:p>
        </w:tc>
        <w:tc>
          <w:tcPr>
            <w:vAlign w:val="center"/>
          </w:tcPr>
          <w:p>
            <w:pPr>
              <w:jc w:val="center"/>
            </w:pPr>
            <w:r>
              <w:rPr>
                <w:color w:val="000000"/>
                <w:sz w:val="24"/>
              </w:rPr>
              <w:t>-0.02%</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交银裕隆纯债债券C</w:t>
      </w:r>
      <w:r w:rsidRPr="007F52FA">
        <w:rPr>
          <w:b/>
          <w:color w:val="000000"/>
          <w:kern w:val="0"/>
          <w:sz w:val="24"/>
        </w:rPr>
        <w:t>：</w:t>
      </w:r>
    </w:p>
    <w:tbl>
      <w:tblPr>
        <w:tblStyle w:val="af6"/>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1.62%</w:t>
            </w:r>
          </w:p>
        </w:tc>
        <w:tc>
          <w:tcPr>
            <w:vAlign w:val="center"/>
          </w:tcPr>
          <w:p>
            <w:pPr>
              <w:jc w:val="center"/>
            </w:pPr>
            <w:r>
              <w:rPr>
                <w:color w:val="000000"/>
                <w:sz w:val="24"/>
              </w:rPr>
              <w:t>0.02%</w:t>
            </w:r>
          </w:p>
        </w:tc>
        <w:tc>
          <w:tcPr>
            <w:vAlign w:val="center"/>
          </w:tcPr>
          <w:p>
            <w:pPr>
              <w:jc w:val="center"/>
            </w:pPr>
            <w:r>
              <w:rPr>
                <w:color w:val="000000"/>
                <w:sz w:val="24"/>
              </w:rPr>
              <w:t>0.45%</w:t>
            </w:r>
          </w:p>
        </w:tc>
        <w:tc>
          <w:tcPr>
            <w:vAlign w:val="center"/>
          </w:tcPr>
          <w:p>
            <w:pPr>
              <w:jc w:val="center"/>
            </w:pPr>
            <w:r>
              <w:rPr>
                <w:color w:val="000000"/>
                <w:sz w:val="24"/>
              </w:rPr>
              <w:t>0.04%</w:t>
            </w:r>
          </w:p>
        </w:tc>
        <w:tc>
          <w:tcPr>
            <w:vAlign w:val="center"/>
          </w:tcPr>
          <w:p>
            <w:pPr>
              <w:jc w:val="center"/>
            </w:pPr>
            <w:r>
              <w:rPr>
                <w:color w:val="000000"/>
                <w:sz w:val="24"/>
              </w:rPr>
              <w:t>1.17%</w:t>
            </w:r>
          </w:p>
        </w:tc>
        <w:tc>
          <w:tcPr>
            <w:vAlign w:val="center"/>
          </w:tcPr>
          <w:p>
            <w:pPr>
              <w:jc w:val="center"/>
            </w:pPr>
            <w:r>
              <w:rPr>
                <w:color w:val="000000"/>
                <w:sz w:val="24"/>
              </w:rPr>
              <w:t>-0.02%</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交银施罗德裕隆纯债债券型证券投资基金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2016年11月28日</w:t>
      </w:r>
      <w:r w:rsidR="009A045B" w:rsidRPr="007F52FA">
        <w:rPr>
          <w:rFonts w:ascii="Times New Roman" w:hAnsi="Times New Roman"/>
          <w:sz w:val="24"/>
          <w:szCs w:val="24"/>
        </w:rPr>
        <w:t>至</w:t>
      </w:r>
      <w:r w:rsidRPr="007F52FA">
        <w:rPr>
          <w:rFonts w:ascii="Times New Roman" w:hAnsi="Times New Roman"/>
          <w:sz w:val="24"/>
          <w:szCs w:val="24"/>
        </w:rPr>
        <w:t>2019年9月30日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交银裕隆纯债债券A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交银裕隆纯债债券C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黄莹洁</w:t>
            </w:r>
          </w:p>
        </w:tc>
        <w:tc>
          <w:tcPr>
            <w:vAlign w:val="center"/>
          </w:tcPr>
          <w:p>
            <w:pPr>
              <w:jc w:val="center"/>
            </w:pPr>
            <w:r>
              <w:rPr>
                <w:color w:val="000000"/>
                <w:sz w:val="24"/>
              </w:rPr>
              <w:t>交银理财21天债券、交银丰享收益债券、交银裕通纯债债券、交银活期通货币、交银天利宝货币、交银裕隆纯债债券、交银天益宝货币、交银境尚收益债券、交银稳鑫短债债券的基金经理</w:t>
            </w:r>
          </w:p>
        </w:tc>
        <w:tc>
          <w:tcPr>
            <w:vAlign w:val="center"/>
          </w:tcPr>
          <w:p>
            <w:pPr>
              <w:jc w:val="center"/>
            </w:pPr>
            <w:r>
              <w:rPr>
                <w:color w:val="000000"/>
                <w:sz w:val="24"/>
              </w:rPr>
              <w:t>2016-11-28</w:t>
            </w:r>
          </w:p>
        </w:tc>
        <w:tc>
          <w:tcPr>
            <w:vAlign w:val="center"/>
          </w:tcPr>
          <w:p>
            <w:pPr>
              <w:jc w:val="center"/>
            </w:pPr>
            <w:r>
              <w:rPr>
                <w:color w:val="000000"/>
                <w:sz w:val="24"/>
              </w:rPr>
              <w:t>-</w:t>
            </w:r>
          </w:p>
        </w:tc>
        <w:tc>
          <w:tcPr>
            <w:vAlign w:val="center"/>
          </w:tcPr>
          <w:p>
            <w:pPr>
              <w:jc w:val="center"/>
            </w:pPr>
            <w:r>
              <w:rPr>
                <w:color w:val="000000"/>
                <w:sz w:val="24"/>
              </w:rPr>
              <w:t>11年</w:t>
            </w:r>
          </w:p>
        </w:tc>
        <w:tc>
          <w:tcPr>
            <w:vAlign w:val="center"/>
          </w:tcPr>
          <w:p>
            <w:pPr>
              <w:jc w:val="both"/>
            </w:pPr>
            <w:r>
              <w:rPr>
                <w:color w:val="000000"/>
                <w:sz w:val="24"/>
              </w:rPr>
              <w:t>黄莹洁女士，香港大学工商管理硕士、北京大学经济学、管理学双学士。历任中海基金管理有限公司交易员。2012年加入交银施罗德基金管理有限公司，历任中央交易室交易员。2015年7月25日至2018年3月18日担任交银施罗德丰泽收益债券型证券投资基金的基金经理。2015年5月27日至2019年8月2日担任交银施罗德货币市场证券投资基金、交银施罗德现金宝货币市场基金的基金经理。2016年12月7日至2019年8月2日担任交银施罗德天鑫宝货币市场基金的基金经理。</w:t>
            </w:r>
          </w:p>
        </w:tc>
      </w:tr>
      <w:tr>
        <w:tc>
          <w:tcPr>
            <w:vAlign w:val="center"/>
          </w:tcPr>
          <w:p>
            <w:pPr>
              <w:jc w:val="center"/>
            </w:pPr>
            <w:r>
              <w:rPr>
                <w:color w:val="000000"/>
                <w:sz w:val="24"/>
              </w:rPr>
              <w:t>连端清</w:t>
            </w:r>
          </w:p>
        </w:tc>
        <w:tc>
          <w:tcPr>
            <w:vAlign w:val="center"/>
          </w:tcPr>
          <w:p>
            <w:pPr>
              <w:jc w:val="center"/>
            </w:pPr>
            <w:r>
              <w:rPr>
                <w:color w:val="000000"/>
                <w:sz w:val="24"/>
              </w:rPr>
              <w:t>交银理财60天债券、交银丰盈收益债券、交银丰润收益债券、交银活期通货币、交银裕盈纯债债券、交银裕利纯债债券的基金经理</w:t>
            </w:r>
          </w:p>
        </w:tc>
        <w:tc>
          <w:tcPr>
            <w:vAlign w:val="center"/>
          </w:tcPr>
          <w:p>
            <w:pPr>
              <w:jc w:val="center"/>
            </w:pPr>
            <w:r>
              <w:rPr>
                <w:color w:val="000000"/>
                <w:sz w:val="24"/>
              </w:rPr>
              <w:t>2016-11-28</w:t>
            </w:r>
          </w:p>
        </w:tc>
        <w:tc>
          <w:tcPr>
            <w:vAlign w:val="center"/>
          </w:tcPr>
          <w:p>
            <w:pPr>
              <w:jc w:val="center"/>
            </w:pPr>
            <w:r>
              <w:rPr>
                <w:color w:val="000000"/>
                <w:sz w:val="24"/>
              </w:rPr>
              <w:t>2019-09-30</w:t>
            </w:r>
          </w:p>
        </w:tc>
        <w:tc>
          <w:tcPr>
            <w:vAlign w:val="center"/>
          </w:tcPr>
          <w:p>
            <w:pPr>
              <w:jc w:val="center"/>
            </w:pPr>
            <w:r>
              <w:rPr>
                <w:color w:val="000000"/>
                <w:sz w:val="24"/>
              </w:rPr>
              <w:t>6年</w:t>
            </w:r>
          </w:p>
        </w:tc>
        <w:tc>
          <w:tcPr>
            <w:vAlign w:val="center"/>
          </w:tcPr>
          <w:p>
            <w:pPr>
              <w:jc w:val="both"/>
            </w:pPr>
            <w:r>
              <w:rPr>
                <w:color w:val="000000"/>
                <w:sz w:val="24"/>
              </w:rPr>
              <w:t>连端清先生，复旦大学经济学博士。历任交通银行总行金融市场部、湘财证券研究所研究员、中航信托资产管理部投资经理。2015年加入交银施罗德基金管理有限公司。2017年3月31日至2018年8月23日担任交银施罗德裕兴纯债债券型证券投资基金的基金经理。2015年8月4日至2019年8月2日担任交银施罗德现金宝货币市场基金的基金经理。2015年10月16日至2019年8月2日担任交银施罗德货币市场证券投资基金的基金经理。2016年12月7日至2019年8月2日担任交银施罗德天鑫宝货币市场基金的基金经理。2017年12月29日至2019年8月2日担任交银施罗德天运宝货币市场基金的基金经理。2016年10月19日至2019年9月29日担任交银施罗德天利宝货币市场基金的基金经理。2016年11月28日至2019年9月29日担任交银施罗德裕隆纯债债券型证券投资基金的基金经理。2016年12月20日至2019年9月29日担任交银施罗德天益宝货币市场基金的基金经理。2017年3月3日至2019年9月29日担任交银施罗德境尚收益债券型证券投资基金的基金经理。</w:t>
            </w:r>
          </w:p>
        </w:tc>
      </w:tr>
    </w:tbl>
    <w:p>
      <w:pPr>
        <w:autoSpaceDE w:val="0"/>
        <w:autoSpaceDN w:val="0"/>
        <w:adjustRightInd w:val="0"/>
        <w:spacing w:before="29" w:line="288" w:lineRule="auto"/>
        <w:jc w:val="left"/>
        <w:rPr>
          <w:color w:val="000000"/>
          <w:sz w:val="24"/>
        </w:rPr>
      </w:pPr>
      <w:r>
        <w:rPr>
          <w:color w:val="000000"/>
          <w:sz w:val="24"/>
        </w:rPr>
        <w:t>注：1、本表所列基金经理（助理）任职日期和离职日期均以基金合同生效日或公司作出决定并公告(如适用)之日为准；</w:t>
      </w:r>
    </w:p>
    <w:p>
      <w:pPr>
        <w:autoSpaceDE w:val="0"/>
        <w:autoSpaceDN w:val="0"/>
        <w:adjustRightInd w:val="0"/>
        <w:spacing w:before="29" w:line="288" w:lineRule="auto"/>
        <w:jc w:val="left"/>
        <w:rPr>
          <w:color w:val="000000"/>
          <w:sz w:val="24"/>
        </w:rPr>
      </w:pPr>
      <w:r>
        <w:rPr>
          <w:color w:val="000000"/>
          <w:sz w:val="24"/>
        </w:rPr>
        <w:t xml:space="preserve">2、本表所列基金经理（助理）证券从业年限中的“证券从业”的含义遵从中国证券业协会《证券业从业人员资格管理办法》的相关规定； </w:t>
      </w:r>
    </w:p>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3、基金经理（或基金经理小组）期后变动（如有）敬请关注基金管理人发布的相关公告。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债券市场呈现先涨后跌的走势。个别银行信用风险暴露事件叠加政策对地产融资的限制，使得债市交易逻辑再度回到“宽货币紧信用”环境，此间中美贸易摩擦升级和人民币汇率贬值成为助推器，十年国债最低下行到3%，十年国开最低下行到3.39%。九月之后通胀预期不断升温，专项债提前下发等稳增长政策也陆续出台，在类滞胀格局下货币宽松不及预期，债市也随之小幅调整。截止2019年9月24日，十年国债收益率最高上行至3.12%，十年国开收益率上行至3.51%。</w:t>
      </w:r>
    </w:p>
    <w:p>
      <w:pPr>
        <w:spacing w:before="29" w:line="288" w:lineRule="auto"/>
        <w:ind w:firstLine="480" w:firstLineChars="200"/>
        <w:rPr>
          <w:color w:val="000000"/>
          <w:sz w:val="24"/>
        </w:rPr>
      </w:pPr>
      <w:r>
        <w:rPr>
          <w:color w:val="000000"/>
          <w:sz w:val="24"/>
        </w:rPr>
        <w:t>基金操作方面，从绝对收益率、期限利差和杠杆成本角度看，目前2-3年的中高等级信用债性价比较好，本基金将绝对收益率较低的品种逐渐置换为三年左右的信用债，提高了组合静态收益，同时辅以合理杠杆水平来增厚组合收益。</w:t>
      </w:r>
    </w:p>
    <w:p w:rsidP="007C14DF" w:rsidR="00952A72" w:rsidRDefault="00323F25" w:rsidRPr="007F52FA">
      <w:pPr>
        <w:spacing w:before="29" w:line="288" w:lineRule="auto"/>
        <w:ind w:firstLine="480" w:firstLineChars="200"/>
        <w:rPr>
          <w:color w:val="000000"/>
          <w:sz w:val="24"/>
        </w:rPr>
      </w:pPr>
      <w:r w:rsidRPr="007F52FA">
        <w:rPr>
          <w:color w:val="000000"/>
          <w:sz w:val="24"/>
        </w:rPr>
        <w:t>展望2019年四季度，我们认为经济下行的斜率和通胀上行的预期是影响债市的因素。在地产和出口约束下，后续稳增长发力仅可依赖专项债，年内经济企稳概率不高。猪价超预期上涨和地缘政治因素对油价的推动，导致年末通胀上行压力较大，四季度名义增速或有小幅抬升。货币政策在九月降准之后短期内将保持定力，稳定宏观杠杆率的思路下信用难以明显扩张。债券收益率短期或维持震荡格局，信用债票息策略更占优。组合操作方面，我们将维持中性久期，在保持组合流动性的前提下密切关注长端利率债的交易窗口，同时特别关注信用风险。</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6"/>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1,269,608,000.00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97.85</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1,269,608,000.00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97.85</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1,558,035.32</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0.12</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26,317,804.46</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2.03</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1,297,483,839.78</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50,213,000.00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5.24</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50,213,000.00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5.24</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20,020,000.00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2.09</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1,199,375,000.00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125.17</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1,269,608,000.00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132.50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6"/>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101764041</w:t>
            </w:r>
          </w:p>
        </w:tc>
        <w:tc>
          <w:tcPr>
            <w:vAlign w:val="center"/>
          </w:tcPr>
          <w:p>
            <w:pPr>
              <w:jc w:val="center"/>
            </w:pPr>
            <w:r>
              <w:rPr>
                <w:color w:val="000000"/>
                <w:sz w:val="24"/>
              </w:rPr>
              <w:t>17浦口城乡MTN001</w:t>
            </w:r>
          </w:p>
        </w:tc>
        <w:tc>
          <w:tcPr>
            <w:vAlign w:val="center"/>
          </w:tcPr>
          <w:p>
            <w:pPr>
              <w:jc w:val="right"/>
            </w:pPr>
            <w:r>
              <w:rPr>
                <w:color w:val="000000"/>
                <w:sz w:val="24"/>
              </w:rPr>
              <w:t>600,000</w:t>
            </w:r>
          </w:p>
        </w:tc>
        <w:tc>
          <w:tcPr>
            <w:vAlign w:val="center"/>
          </w:tcPr>
          <w:p>
            <w:pPr>
              <w:jc w:val="right"/>
            </w:pPr>
            <w:r>
              <w:rPr>
                <w:color w:val="000000"/>
                <w:sz w:val="24"/>
              </w:rPr>
              <w:t>60,744,000.00</w:t>
            </w:r>
          </w:p>
        </w:tc>
        <w:tc>
          <w:tcPr>
            <w:vAlign w:val="center"/>
          </w:tcPr>
          <w:p>
            <w:pPr>
              <w:jc w:val="right"/>
            </w:pPr>
            <w:r>
              <w:rPr>
                <w:color w:val="000000"/>
                <w:sz w:val="24"/>
              </w:rPr>
              <w:t>6.34</w:t>
            </w:r>
          </w:p>
        </w:tc>
      </w:tr>
      <w:tr>
        <w:tc>
          <w:tcPr>
            <w:vAlign w:val="center"/>
          </w:tcPr>
          <w:p>
            <w:pPr>
              <w:jc w:val="center"/>
            </w:pPr>
            <w:r>
              <w:rPr>
                <w:color w:val="000000"/>
                <w:sz w:val="24"/>
              </w:rPr>
              <w:t>2</w:t>
            </w:r>
          </w:p>
        </w:tc>
        <w:tc>
          <w:tcPr>
            <w:vAlign w:val="center"/>
          </w:tcPr>
          <w:p>
            <w:pPr>
              <w:jc w:val="center"/>
            </w:pPr>
            <w:r>
              <w:rPr>
                <w:color w:val="000000"/>
                <w:sz w:val="24"/>
              </w:rPr>
              <w:t>101781001</w:t>
            </w:r>
          </w:p>
        </w:tc>
        <w:tc>
          <w:tcPr>
            <w:vAlign w:val="center"/>
          </w:tcPr>
          <w:p>
            <w:pPr>
              <w:jc w:val="center"/>
            </w:pPr>
            <w:r>
              <w:rPr>
                <w:color w:val="000000"/>
                <w:sz w:val="24"/>
              </w:rPr>
              <w:t>17芜湖宜居MTN001</w:t>
            </w:r>
          </w:p>
        </w:tc>
        <w:tc>
          <w:tcPr>
            <w:vAlign w:val="center"/>
          </w:tcPr>
          <w:p>
            <w:pPr>
              <w:jc w:val="right"/>
            </w:pPr>
            <w:r>
              <w:rPr>
                <w:color w:val="000000"/>
                <w:sz w:val="24"/>
              </w:rPr>
              <w:t>500,000</w:t>
            </w:r>
          </w:p>
        </w:tc>
        <w:tc>
          <w:tcPr>
            <w:vAlign w:val="center"/>
          </w:tcPr>
          <w:p>
            <w:pPr>
              <w:jc w:val="right"/>
            </w:pPr>
            <w:r>
              <w:rPr>
                <w:color w:val="000000"/>
                <w:sz w:val="24"/>
              </w:rPr>
              <w:t>51,850,000.00</w:t>
            </w:r>
          </w:p>
        </w:tc>
        <w:tc>
          <w:tcPr>
            <w:vAlign w:val="center"/>
          </w:tcPr>
          <w:p>
            <w:pPr>
              <w:jc w:val="right"/>
            </w:pPr>
            <w:r>
              <w:rPr>
                <w:color w:val="000000"/>
                <w:sz w:val="24"/>
              </w:rPr>
              <w:t>5.41</w:t>
            </w:r>
          </w:p>
        </w:tc>
      </w:tr>
      <w:tr>
        <w:tc>
          <w:tcPr>
            <w:vAlign w:val="center"/>
          </w:tcPr>
          <w:p>
            <w:pPr>
              <w:jc w:val="center"/>
            </w:pPr>
            <w:r>
              <w:rPr>
                <w:color w:val="000000"/>
                <w:sz w:val="24"/>
              </w:rPr>
              <w:t>3</w:t>
            </w:r>
          </w:p>
        </w:tc>
        <w:tc>
          <w:tcPr>
            <w:vAlign w:val="center"/>
          </w:tcPr>
          <w:p>
            <w:pPr>
              <w:jc w:val="center"/>
            </w:pPr>
            <w:r>
              <w:rPr>
                <w:color w:val="000000"/>
                <w:sz w:val="24"/>
              </w:rPr>
              <w:t>131800007</w:t>
            </w:r>
          </w:p>
        </w:tc>
        <w:tc>
          <w:tcPr>
            <w:vAlign w:val="center"/>
          </w:tcPr>
          <w:p>
            <w:pPr>
              <w:jc w:val="center"/>
            </w:pPr>
            <w:r>
              <w:rPr>
                <w:color w:val="000000"/>
                <w:sz w:val="24"/>
              </w:rPr>
              <w:t>18鄂西圈GN001</w:t>
            </w:r>
          </w:p>
        </w:tc>
        <w:tc>
          <w:tcPr>
            <w:vAlign w:val="center"/>
          </w:tcPr>
          <w:p>
            <w:pPr>
              <w:jc w:val="right"/>
            </w:pPr>
            <w:r>
              <w:rPr>
                <w:color w:val="000000"/>
                <w:sz w:val="24"/>
              </w:rPr>
              <w:t>500,000</w:t>
            </w:r>
          </w:p>
        </w:tc>
        <w:tc>
          <w:tcPr>
            <w:vAlign w:val="center"/>
          </w:tcPr>
          <w:p>
            <w:pPr>
              <w:jc w:val="right"/>
            </w:pPr>
            <w:r>
              <w:rPr>
                <w:color w:val="000000"/>
                <w:sz w:val="24"/>
              </w:rPr>
              <w:t>51,815,000.00</w:t>
            </w:r>
          </w:p>
        </w:tc>
        <w:tc>
          <w:tcPr>
            <w:vAlign w:val="center"/>
          </w:tcPr>
          <w:p>
            <w:pPr>
              <w:jc w:val="right"/>
            </w:pPr>
            <w:r>
              <w:rPr>
                <w:color w:val="000000"/>
                <w:sz w:val="24"/>
              </w:rPr>
              <w:t>5.41</w:t>
            </w:r>
          </w:p>
        </w:tc>
      </w:tr>
      <w:tr>
        <w:tc>
          <w:tcPr>
            <w:vAlign w:val="center"/>
          </w:tcPr>
          <w:p>
            <w:pPr>
              <w:jc w:val="center"/>
            </w:pPr>
            <w:r>
              <w:rPr>
                <w:color w:val="000000"/>
                <w:sz w:val="24"/>
              </w:rPr>
              <w:t>4</w:t>
            </w:r>
          </w:p>
        </w:tc>
        <w:tc>
          <w:tcPr>
            <w:vAlign w:val="center"/>
          </w:tcPr>
          <w:p>
            <w:pPr>
              <w:jc w:val="center"/>
            </w:pPr>
            <w:r>
              <w:rPr>
                <w:color w:val="000000"/>
                <w:sz w:val="24"/>
              </w:rPr>
              <w:t>101801052</w:t>
            </w:r>
          </w:p>
        </w:tc>
        <w:tc>
          <w:tcPr>
            <w:vAlign w:val="center"/>
          </w:tcPr>
          <w:p>
            <w:pPr>
              <w:jc w:val="center"/>
            </w:pPr>
            <w:r>
              <w:rPr>
                <w:color w:val="000000"/>
                <w:sz w:val="24"/>
              </w:rPr>
              <w:t>18蓉城文化MTN001</w:t>
            </w:r>
          </w:p>
        </w:tc>
        <w:tc>
          <w:tcPr>
            <w:vAlign w:val="center"/>
          </w:tcPr>
          <w:p>
            <w:pPr>
              <w:jc w:val="right"/>
            </w:pPr>
            <w:r>
              <w:rPr>
                <w:color w:val="000000"/>
                <w:sz w:val="24"/>
              </w:rPr>
              <w:t>500,000</w:t>
            </w:r>
          </w:p>
        </w:tc>
        <w:tc>
          <w:tcPr>
            <w:vAlign w:val="center"/>
          </w:tcPr>
          <w:p>
            <w:pPr>
              <w:jc w:val="right"/>
            </w:pPr>
            <w:r>
              <w:rPr>
                <w:color w:val="000000"/>
                <w:sz w:val="24"/>
              </w:rPr>
              <w:t>51,515,000.00</w:t>
            </w:r>
          </w:p>
        </w:tc>
        <w:tc>
          <w:tcPr>
            <w:vAlign w:val="center"/>
          </w:tcPr>
          <w:p>
            <w:pPr>
              <w:jc w:val="right"/>
            </w:pPr>
            <w:r>
              <w:rPr>
                <w:color w:val="000000"/>
                <w:sz w:val="24"/>
              </w:rPr>
              <w:t>5.38</w:t>
            </w:r>
          </w:p>
        </w:tc>
      </w:tr>
      <w:tr>
        <w:tc>
          <w:tcPr>
            <w:vAlign w:val="center"/>
          </w:tcPr>
          <w:p>
            <w:pPr>
              <w:jc w:val="center"/>
            </w:pPr>
            <w:r>
              <w:rPr>
                <w:color w:val="000000"/>
                <w:sz w:val="24"/>
              </w:rPr>
              <w:t>5</w:t>
            </w:r>
          </w:p>
        </w:tc>
        <w:tc>
          <w:tcPr>
            <w:vAlign w:val="center"/>
          </w:tcPr>
          <w:p>
            <w:pPr>
              <w:jc w:val="center"/>
            </w:pPr>
            <w:r>
              <w:rPr>
                <w:color w:val="000000"/>
                <w:sz w:val="24"/>
              </w:rPr>
              <w:t>101900415</w:t>
            </w:r>
          </w:p>
        </w:tc>
        <w:tc>
          <w:tcPr>
            <w:vAlign w:val="center"/>
          </w:tcPr>
          <w:p>
            <w:pPr>
              <w:jc w:val="center"/>
            </w:pPr>
            <w:r>
              <w:rPr>
                <w:color w:val="000000"/>
                <w:sz w:val="24"/>
              </w:rPr>
              <w:t>19洛阳城投MTN003</w:t>
            </w:r>
          </w:p>
        </w:tc>
        <w:tc>
          <w:tcPr>
            <w:vAlign w:val="center"/>
          </w:tcPr>
          <w:p>
            <w:pPr>
              <w:jc w:val="right"/>
            </w:pPr>
            <w:r>
              <w:rPr>
                <w:color w:val="000000"/>
                <w:sz w:val="24"/>
              </w:rPr>
              <w:t>500,000</w:t>
            </w:r>
          </w:p>
        </w:tc>
        <w:tc>
          <w:tcPr>
            <w:vAlign w:val="center"/>
          </w:tcPr>
          <w:p>
            <w:pPr>
              <w:jc w:val="right"/>
            </w:pPr>
            <w:r>
              <w:rPr>
                <w:color w:val="000000"/>
                <w:sz w:val="24"/>
              </w:rPr>
              <w:t>50,905,000.00</w:t>
            </w:r>
          </w:p>
        </w:tc>
        <w:tc>
          <w:tcPr>
            <w:vAlign w:val="center"/>
          </w:tcPr>
          <w:p>
            <w:pPr>
              <w:jc w:val="right"/>
            </w:pPr>
            <w:r>
              <w:rPr>
                <w:color w:val="000000"/>
                <w:sz w:val="24"/>
              </w:rPr>
              <w:t>5.31</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5.11.1报告期内本基金投资的前十名证券的发行主体未被监管部门立案调查，在本报告编制日前一年内本基金投资的前十名证券的发行主体未受到公开谴责和处罚。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5.11.2本基金投资的前十名股票中，没有超出基金合同规定的备选股票库之外的股票。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r w:rsidRPr="007F52FA">
        <w:rPr>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6"/>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668.60</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24,423,730.68</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1,893,405.18</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26,317,804.46</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本基金本报告期末未持有股票。</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交银裕隆纯债债券A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交银裕隆纯债债券C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582,175,252.87</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88,959,996.31</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107,396,800.28</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63,124,850.95</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14,264,965.28</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859,871.12</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675,307,087.87</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151,224,976.14</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 xml:space="preserve"> 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ED0E09" w:rsidRDefault="00ED0E09">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§8 </w:t>
      </w:r>
      <w:r w:rsidR="00F139D5">
        <w:rPr>
          <w:rFonts w:eastAsiaTheme="minorEastAsia"/>
          <w:color w:themeColor="text1" w:val="000000"/>
          <w:kern w:val="0"/>
          <w:sz w:val="21"/>
          <w:szCs w:val="21"/>
        </w:rPr>
        <w:t xml:space="preserve"> </w:t>
      </w:r>
      <w:r>
        <w:rPr>
          <w:rFonts w:eastAsiaTheme="minorEastAsia" w:hint="eastAsia"/>
          <w:color w:themeColor="text1" w:val="000000"/>
          <w:kern w:val="0"/>
          <w:sz w:val="21"/>
          <w:szCs w:val="21"/>
        </w:rPr>
        <w:t>影响投资者决策的其他重要信息</w:t>
      </w:r>
    </w:p>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ED0E09" w:rsidTr="00ED0E09">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type="dxa" w:w="993"/>
            <w:vMerge/>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2019/7/1-2019/9/30</w:t>
            </w:r>
          </w:p>
        </w:tc>
        <w:tc>
          <w:tcPr>
            <w:vAlign w:val="center"/>
          </w:tcPr>
          <w:p>
            <w:pPr>
              <w:jc w:val="center"/>
            </w:pPr>
            <w:r>
              <w:rPr>
                <w:rFonts w:ascii="宋体" w:hAnsi="宋体" w:hint="eastAsia"/>
                <w:color w:val="000000"/>
                <w:kern w:val="0"/>
                <w:szCs w:val="21"/>
              </w:rPr>
              <w:t>464,291,600.21</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464,291,600.21</w:t>
            </w:r>
          </w:p>
        </w:tc>
        <w:tc>
          <w:tcPr>
            <w:vAlign w:val="center"/>
          </w:tcPr>
          <w:p>
            <w:pPr>
              <w:jc w:val="center"/>
            </w:pPr>
            <w:r>
              <w:rPr>
                <w:rFonts w:ascii="宋体" w:hAnsi="宋体" w:hint="eastAsia"/>
                <w:color w:val="000000"/>
                <w:kern w:val="0"/>
                <w:szCs w:val="21"/>
              </w:rPr>
              <w:t>56.17%</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1、中国证监会准予交银施罗德裕隆纯债债券型证券投资基金募集注册的文件；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2、《交银施罗德裕隆纯债债券型证券投资基金基金合同》；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3、《交银施罗德裕隆纯债债券型证券投资基金招募说明书》；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4、《交银施罗德裕隆纯债债券型证券投资基金托管协议》；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5、关于申请募集注册交银施罗德裕隆纯债债券型证券投资基金的法律意见书；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8、报告期内交银施罗德裕隆纯债债券型证券投资基金在指定报刊上各项公告的原稿。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9.2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E22" w:rsidRDefault="000A2E22">
      <w:r>
        <w:separator/>
      </w:r>
    </w:p>
  </w:endnote>
  <w:endnote w:type="continuationSeparator" w:id="0">
    <w:p w:rsidR="000A2E22" w:rsidRDefault="000A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C51B4E" w:rsidRDefault="00C51B4E">
    <w:pPr>
      <w:pStyle w:val="a7"/>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P="00F7094A" w:rsidR="007F50FB" w:rsidRDefault="007F50FB" w:rsidRPr="001D0DB0">
    <w:pPr>
      <w:pStyle w:val="a7"/>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143E9C">
      <w:rPr>
        <w:noProof/>
        <w:kern w:val="0"/>
        <w:szCs w:val="21"/>
      </w:rPr>
      <w:t>26</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143E9C">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C51B4E" w:rsidRDefault="00C51B4E">
    <w:pPr>
      <w:pStyle w:val="a7"/>
    </w:pPr>
  </w:p>
</w:ftr>
</file>

<file path=word/footer4.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7F50FB" w:rsidRDefault="0042114A">
    <w:pPr>
      <w:pStyle w:val="a7"/>
      <w:framePr w:hAnchor="margin" w:vAnchor="text" w:wrap="around" w:xAlign="center" w:y="1"/>
      <w:rPr>
        <w:rStyle w:val="a8"/>
      </w:rPr>
    </w:pPr>
    <w:r>
      <w:rPr>
        <w:rStyle w:val="a8"/>
      </w:rPr>
      <w:fldChar w:fldCharType="begin"/>
    </w:r>
    <w:r w:rsidR="007F50FB">
      <w:rPr>
        <w:rStyle w:val="a8"/>
      </w:rPr>
      <w:instrText xml:space="preserve">PAGE  </w:instrText>
    </w:r>
    <w:r>
      <w:rPr>
        <w:rStyle w:val="a8"/>
      </w:rPr>
      <w:fldChar w:fldCharType="end"/>
    </w:r>
  </w:p>
  <w:p w:rsidR="007F50FB" w:rsidRDefault="007F50FB">
    <w:pPr>
      <w:pStyle w:val="a7"/>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footnote w:id="-1" w:type="separator">
    <w:p w:rsidR="000A2E22" w:rsidRDefault="000A2E22">
      <w:r>
        <w:separator/>
      </w:r>
    </w:p>
  </w:footnote>
  <w:footnote w:id="0" w:type="continuationSeparator">
    <w:p w:rsidR="000A2E22" w:rsidRDefault="000A2E22">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C51B4E" w:rsidRDefault="00C51B4E">
    <w:pPr>
      <w:pStyle w:val="aa"/>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交银施罗德裕隆纯债债券型证券投资基金2019年第3季度报告</w:t>
    </w: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C51B4E" w:rsidRDefault="00C51B4E">
    <w:pPr>
      <w:pStyle w:val="aa"/>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mc:Ignorable="w14 w15 w16se w16cid">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cs="Times New Roman" w:eastAsia="宋体" w:hAnsi="Times New Roman"/>
        <w:lang w:bidi="ar-SA" w:eastAsia="zh-CN" w:val="en-US"/>
      </w:rPr>
    </w:rPrDefault>
    <w:pPrDefault/>
  </w:docDefaults>
  <w:latentStyles w:count="377"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0"/>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a6"/>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7" w:type="paragraph">
    <w:name w:val="footer"/>
    <w:basedOn w:val="a"/>
    <w:rsid w:val="006A4828"/>
    <w:pPr>
      <w:tabs>
        <w:tab w:pos="4153" w:val="center"/>
        <w:tab w:pos="8306" w:val="right"/>
      </w:tabs>
      <w:snapToGrid w:val="0"/>
      <w:jc w:val="left"/>
    </w:pPr>
    <w:rPr>
      <w:sz w:val="18"/>
      <w:szCs w:val="18"/>
    </w:rPr>
  </w:style>
  <w:style w:styleId="a8" w:type="character">
    <w:name w:val="page number"/>
    <w:basedOn w:val="a1"/>
    <w:rsid w:val="006A4828"/>
  </w:style>
  <w:style w:styleId="a9"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a" w:type="paragraph">
    <w:name w:val="header"/>
    <w:basedOn w:val="a"/>
    <w:link w:val="ab"/>
    <w:uiPriority w:val="99"/>
    <w:rsid w:val="006A4828"/>
    <w:pPr>
      <w:pBdr>
        <w:bottom w:color="auto" w:space="1" w:sz="6" w:val="single"/>
      </w:pBdr>
      <w:tabs>
        <w:tab w:pos="4153" w:val="center"/>
        <w:tab w:pos="8306" w:val="right"/>
      </w:tabs>
      <w:snapToGrid w:val="0"/>
      <w:jc w:val="center"/>
    </w:pPr>
    <w:rPr>
      <w:sz w:val="18"/>
      <w:szCs w:val="18"/>
    </w:rPr>
  </w:style>
  <w:style w:customStyle="1" w:styleId="11" w:type="character">
    <w:name w:val="已访问的超链接1"/>
    <w:basedOn w:val="a1"/>
    <w:rsid w:val="006A4828"/>
    <w:rPr>
      <w:color w:val="800080"/>
      <w:u w:val="single"/>
    </w:rPr>
  </w:style>
  <w:style w:styleId="ac" w:type="paragraph">
    <w:name w:val="List"/>
    <w:basedOn w:val="ad"/>
    <w:rsid w:val="006A4828"/>
    <w:pPr>
      <w:spacing w:after="220" w:line="220" w:lineRule="atLeast"/>
      <w:ind w:hanging="360" w:left="1440"/>
    </w:pPr>
    <w:rPr>
      <w:szCs w:val="20"/>
    </w:rPr>
  </w:style>
  <w:style w:styleId="ad" w:type="paragraph">
    <w:name w:val="Body Text"/>
    <w:basedOn w:val="a"/>
    <w:rsid w:val="006A4828"/>
    <w:pPr>
      <w:spacing w:after="120"/>
    </w:pPr>
  </w:style>
  <w:style w:styleId="ae" w:type="paragraph">
    <w:name w:val="Date"/>
    <w:basedOn w:val="a"/>
    <w:next w:val="a"/>
    <w:link w:val="af"/>
    <w:rsid w:val="006A4828"/>
    <w:rPr>
      <w:sz w:val="24"/>
      <w:szCs w:val="20"/>
    </w:rPr>
  </w:style>
  <w:style w:customStyle="1" w:styleId="c1" w:type="character">
    <w:name w:val="c1"/>
    <w:basedOn w:val="a1"/>
    <w:rsid w:val="006A4828"/>
    <w:rPr>
      <w:color w:val="000000"/>
      <w:sz w:val="18"/>
      <w:szCs w:val="18"/>
    </w:rPr>
  </w:style>
  <w:style w:styleId="12"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f0" w:type="paragraph">
    <w:name w:val="Balloon Text"/>
    <w:basedOn w:val="a"/>
    <w:semiHidden/>
    <w:rsid w:val="006A4828"/>
    <w:rPr>
      <w:sz w:val="18"/>
      <w:szCs w:val="18"/>
    </w:rPr>
  </w:style>
  <w:style w:styleId="af1" w:type="character">
    <w:name w:val="annotation reference"/>
    <w:basedOn w:val="a1"/>
    <w:uiPriority w:val="99"/>
    <w:semiHidden/>
    <w:rsid w:val="006A4828"/>
    <w:rPr>
      <w:sz w:val="21"/>
      <w:szCs w:val="21"/>
    </w:rPr>
  </w:style>
  <w:style w:styleId="af2" w:type="paragraph">
    <w:name w:val="annotation text"/>
    <w:basedOn w:val="a"/>
    <w:link w:val="af3"/>
    <w:uiPriority w:val="99"/>
    <w:semiHidden/>
    <w:rsid w:val="006A4828"/>
    <w:pPr>
      <w:jc w:val="left"/>
    </w:pPr>
  </w:style>
  <w:style w:styleId="af4" w:type="paragraph">
    <w:name w:val="annotation subject"/>
    <w:basedOn w:val="af2"/>
    <w:next w:val="af2"/>
    <w:semiHidden/>
    <w:rsid w:val="006A4828"/>
    <w:rPr>
      <w:b/>
      <w:bCs/>
    </w:rPr>
  </w:style>
  <w:style w:customStyle="1" w:styleId="Char" w:type="paragraph">
    <w:name w:val="Char"/>
    <w:basedOn w:val="a"/>
    <w:rsid w:val="006A4828"/>
  </w:style>
  <w:style w:styleId="af5" w:type="paragraph">
    <w:name w:val="Document Map"/>
    <w:basedOn w:val="a"/>
    <w:semiHidden/>
    <w:rsid w:val="000A549A"/>
    <w:pPr>
      <w:shd w:color="auto" w:fill="000080" w:val="clear"/>
    </w:pPr>
  </w:style>
  <w:style w:styleId="af6"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7" w:type="paragraph">
    <w:name w:val="footnote text"/>
    <w:basedOn w:val="a"/>
    <w:link w:val="af8"/>
    <w:rsid w:val="000B251E"/>
    <w:pPr>
      <w:snapToGrid w:val="0"/>
      <w:jc w:val="left"/>
    </w:pPr>
    <w:rPr>
      <w:sz w:val="18"/>
      <w:szCs w:val="18"/>
    </w:rPr>
  </w:style>
  <w:style w:styleId="af9" w:type="character">
    <w:name w:val="footnote reference"/>
    <w:basedOn w:val="a1"/>
    <w:rsid w:val="000B251E"/>
    <w:rPr>
      <w:vertAlign w:val="superscript"/>
    </w:rPr>
  </w:style>
  <w:style w:styleId="afa"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0"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a6" w:type="character">
    <w:name w:val="纯文本 字符"/>
    <w:basedOn w:val="a1"/>
    <w:link w:val="a5"/>
    <w:uiPriority w:val="99"/>
    <w:rsid w:val="009A045B"/>
    <w:rPr>
      <w:rFonts w:ascii="宋体" w:hAnsi="Courier New"/>
      <w:kern w:val="2"/>
      <w:sz w:val="21"/>
      <w:szCs w:val="21"/>
    </w:rPr>
  </w:style>
  <w:style w:customStyle="1" w:styleId="af8" w:type="character">
    <w:name w:val="脚注文本 字符"/>
    <w:basedOn w:val="a1"/>
    <w:link w:val="af7"/>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ab" w:type="character">
    <w:name w:val="页眉 字符"/>
    <w:basedOn w:val="a1"/>
    <w:link w:val="aa"/>
    <w:uiPriority w:val="99"/>
    <w:rsid w:val="001207F2"/>
    <w:rPr>
      <w:kern w:val="2"/>
      <w:sz w:val="18"/>
      <w:szCs w:val="18"/>
    </w:rPr>
  </w:style>
  <w:style w:customStyle="1" w:styleId="10" w:type="character">
    <w:name w:val="标题 1 字符"/>
    <w:basedOn w:val="a1"/>
    <w:link w:val="1"/>
    <w:uiPriority w:val="99"/>
    <w:rsid w:val="00180952"/>
    <w:rPr>
      <w:b/>
      <w:bCs/>
      <w:kern w:val="44"/>
      <w:sz w:val="44"/>
      <w:szCs w:val="44"/>
    </w:rPr>
  </w:style>
  <w:style w:customStyle="1" w:styleId="af" w:type="character">
    <w:name w:val="日期 字符"/>
    <w:basedOn w:val="a1"/>
    <w:link w:val="ae"/>
    <w:rsid w:val="00D66685"/>
    <w:rPr>
      <w:kern w:val="2"/>
      <w:sz w:val="24"/>
    </w:rPr>
  </w:style>
  <w:style w:styleId="afb" w:type="character">
    <w:name w:val="Strong"/>
    <w:basedOn w:val="a1"/>
    <w:uiPriority w:val="22"/>
    <w:qFormat/>
    <w:rsid w:val="00C02900"/>
    <w:rPr>
      <w:b/>
      <w:bCs/>
    </w:rPr>
  </w:style>
  <w:style w:customStyle="1" w:styleId="af3" w:type="character">
    <w:name w:val="批注文字 字符"/>
    <w:basedOn w:val="a1"/>
    <w:link w:val="af2"/>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3D1C4-DF97-4403-82EB-0D35503E4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242</TotalTime>
  <Pages>27</Pages>
  <Words>4287</Words>
  <Characters>24442</Characters>
  <Application>Microsoft Office Word</Application>
  <DocSecurity>0</DocSecurity>
  <Lines>203</Lines>
  <Paragraphs>57</Paragraphs>
  <ScaleCrop>false</ScaleCrop>
  <Company>TRT. Ltd. Co.</Company>
  <LinksUpToDate>false</LinksUpToDate>
  <CharactersWithSpaces>28672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857040381@qq.com</cp:lastModifiedBy>
  <cp:lastPrinted>2007-07-19T00:46:00Z</cp:lastPrinted>
  <dcterms:modified xsi:type="dcterms:W3CDTF">2019-09-18T07:08:00Z</dcterms:modified>
  <cp:revision>402</cp:revision>
</cp:coreProperties>
</file>