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交银施罗德中证海外中国互联网指数型证券投资基金(LOF)</w:t>
      </w:r>
    </w:p>
    <w:p w:rsidP="005546C0" w:rsidR="00F22F00" w:rsidRDefault="00F22F00" w:rsidRPr="006A23FB">
      <w:pPr>
        <w:spacing w:before="29" w:line="288" w:lineRule="auto"/>
        <w:jc w:val="center"/>
        <w:rPr>
          <w:b/>
          <w:sz w:val="36"/>
          <w:szCs w:val="36"/>
        </w:rPr>
      </w:pPr>
      <w:r w:rsidRPr="006A23FB">
        <w:rPr>
          <w:b/>
          <w:sz w:val="36"/>
          <w:szCs w:val="36"/>
        </w:rPr>
        <w:t>2019年第3季度报告</w:t>
      </w:r>
    </w:p>
    <w:p w:rsidP="005546C0" w:rsidR="00397616" w:rsidRDefault="00623556" w:rsidRPr="006A23FB">
      <w:pPr>
        <w:spacing w:before="29" w:line="288" w:lineRule="auto"/>
        <w:jc w:val="center"/>
        <w:rPr>
          <w:b/>
          <w:sz w:val="36"/>
          <w:szCs w:val="36"/>
        </w:rPr>
      </w:pPr>
      <w:r w:rsidRPr="006A23FB">
        <w:rPr>
          <w:b/>
          <w:sz w:val="36"/>
          <w:szCs w:val="36"/>
        </w:rPr>
        <w:t>2019年9月30日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中国农业银行股份有限公司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二〇一九年十月二十二日</w:t>
      </w:r>
    </w:p>
    <w:p w:rsidP="005546C0" w:rsidR="00CC4CB4" w:rsidRDefault="00CC4CB4" w:rsidRPr="008640AE">
      <w:pPr>
        <w:spacing w:before="29" w:line="288" w:lineRule="auto"/>
        <w:ind w:firstLine="2168" w:firstLineChars="900"/>
        <w:rPr>
          <w:b/>
          <w:color w:val="000000"/>
          <w:sz w:val="24"/>
        </w:rPr>
        <w:sectPr w:rsidR="00CC4CB4" w:rsidRPr="008640AE" w:rsidSect="00F078B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DB376A" w:rsidR="0076518F" w:rsidRDefault="0076518F" w:rsidRPr="008640AE">
      <w:pPr>
        <w:pStyle w:val="1"/>
        <w:spacing w:after="312" w:afterLines="100" w:before="312"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本报告期自2019年7月1日起至9月30日止。</w:t>
      </w:r>
    </w:p>
    <w:p w:rsidP="005546C0" w:rsidR="00110D1F" w:rsidRDefault="00110D1F" w:rsidRPr="008640AE">
      <w:pPr>
        <w:spacing w:before="29" w:line="288" w:lineRule="auto"/>
        <w:ind w:firstLine="480" w:firstLineChars="200"/>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交银中证海外中国互联网指数(QDII-LOF)</w:t>
            </w:r>
          </w:p>
        </w:tc>
      </w:tr>
      <w:tr w:rsidR="0010282F" w:rsidRPr="008640AE" w:rsidTr="0010282F">
        <w:trPr>
          <w:jc w:val="center"/>
        </w:trPr>
        <w:tc>
          <w:tcPr>
            <w:tcW w:type="dxa" w:w="3135"/>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type="dxa" w:w="5733"/>
            <w:gridSpan w:val="2"/>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上市契约型开放式(LOF)</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2015年5月27日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1,037,233,408.60</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本基金紧密跟踪标的指数，追求跟踪偏离度与跟踪误差最小化。本基金力争控制本基金日均跟踪偏离度的绝对值不超过0.5%，年跟踪误差不超过5%。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中证海外中国互联网指数收益率×95%＋银行活期存款利率（税后）×5%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P="005546C0" w:rsidR="001C1457" w:rsidRDefault="001C1457" w:rsidRPr="008640AE">
      <w:pPr>
        <w:autoSpaceDE w:val="0"/>
        <w:autoSpaceDN w:val="0"/>
        <w:adjustRightInd w:val="0"/>
        <w:spacing w:before="29" w:line="288" w:lineRule="auto"/>
        <w:jc w:val="left"/>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(2019年7月1日-2019年9月30日)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-6,503,114.35</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-22,193,278.38</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-0.0213</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1,208,557,573.20</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1.165</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-2.43%</w:t>
            </w:r>
          </w:p>
        </w:tc>
        <w:tc>
          <w:tcPr>
            <w:vAlign w:val="center"/>
          </w:tcPr>
          <w:p>
            <w:pPr>
              <w:jc w:val="right"/>
            </w:pPr>
            <w:r>
              <w:rPr>
                <w:color w:val="000000"/>
                <w:sz w:val="24"/>
              </w:rPr>
              <w:t>1.37%</w:t>
            </w:r>
          </w:p>
        </w:tc>
        <w:tc>
          <w:tcPr>
            <w:vAlign w:val="center"/>
          </w:tcPr>
          <w:p>
            <w:pPr>
              <w:jc w:val="right"/>
            </w:pPr>
            <w:r>
              <w:rPr>
                <w:color w:val="000000"/>
                <w:sz w:val="24"/>
              </w:rPr>
              <w:t>-5.26%</w:t>
            </w:r>
          </w:p>
        </w:tc>
        <w:tc>
          <w:tcPr>
            <w:vAlign w:val="center"/>
          </w:tcPr>
          <w:p>
            <w:pPr>
              <w:jc w:val="right"/>
            </w:pPr>
            <w:r>
              <w:rPr>
                <w:color w:val="000000"/>
                <w:sz w:val="24"/>
              </w:rPr>
              <w:t>1.41%</w:t>
            </w:r>
          </w:p>
        </w:tc>
        <w:tc>
          <w:tcPr>
            <w:vAlign w:val="center"/>
          </w:tcPr>
          <w:p>
            <w:pPr>
              <w:jc w:val="right"/>
            </w:pPr>
            <w:r>
              <w:rPr>
                <w:color w:val="000000"/>
                <w:sz w:val="24"/>
              </w:rPr>
              <w:t>2.83%</w:t>
            </w:r>
          </w:p>
        </w:tc>
        <w:tc>
          <w:tcPr>
            <w:vAlign w:val="center"/>
          </w:tcPr>
          <w:p>
            <w:pPr>
              <w:jc w:val="right"/>
            </w:pPr>
            <w:r>
              <w:rPr>
                <w:color w:val="000000"/>
                <w:sz w:val="24"/>
              </w:rPr>
              <w:t>-0.04%</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交银施罗德中证海外中国互联网指数型证券投资基金(LOF)</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2015年5月27日</w:t>
      </w:r>
      <w:r w:rsidRPr="008640AE">
        <w:rPr>
          <w:color w:val="000000"/>
          <w:kern w:val="0"/>
          <w:sz w:val="24"/>
        </w:rPr>
        <w:t>至</w:t>
      </w:r>
      <w:r w:rsidRPr="008640AE">
        <w:rPr>
          <w:color w:val="000000"/>
          <w:kern w:val="0"/>
          <w:sz w:val="24"/>
        </w:rPr>
        <w:t>2019年9月30日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left"/>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2</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3.1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2019年三季度国内宏观环境基本稳定，经济走势稳中偏弱，政策面支持力度加大。本季度全球经济延续弱势，多个经济体陆续步入降息周期以缓解增速压力。中美贸易摩擦短期加剧了市场波动，但整体对于市场的影响逐渐钝化。三季度海外主要资本市场均表现出震荡态势，作为跟踪中证海外中国互联网指数的指数基金，本季度基金净值总体呈现区间震荡的走势。</w:t>
      </w:r>
    </w:p>
    <w:p w:rsidP="005546C0" w:rsidR="00B0116D" w:rsidRDefault="00B0116D" w:rsidRPr="008640AE">
      <w:pPr>
        <w:spacing w:before="29" w:line="288" w:lineRule="auto"/>
        <w:ind w:firstLine="480" w:firstLineChars="200"/>
        <w:rPr>
          <w:color w:val="000000"/>
          <w:sz w:val="24"/>
        </w:rPr>
      </w:pPr>
      <w:r w:rsidRPr="008640AE">
        <w:rPr>
          <w:color w:val="000000"/>
          <w:sz w:val="24"/>
        </w:rPr>
        <w:t>展望2019年四季度，我们认为国内经济仍然面临一定压力，但随着政策和改革的推进，新兴产业作为经济增长新动力也将提速发展，科技创新类公司蕴含巨大潜力。四季度是国内宏观政策的重要时间窗口，预计针对内外部环境将会有更多稳增长政策出台。受贸易摩擦和英国硬脱欧风险影响，全球经济四季度大概率延续回落，利率处于下行周期。我们总体上对于下一季度中国海外互联网板块的表现保持谨慎乐观的看法。</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本基金（各类）份额净值及业绩表现请见“3.1主要财务指标” 及“3.2.1 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P="00D005B0" w:rsidR="00D005B0" w:rsidRDefault="00D005B0" w:rsidRPr="00D005B0">
      <w:pPr>
        <w:autoSpaceDE w:val="0"/>
        <w:autoSpaceDN w:val="0"/>
        <w:adjustRightInd w:val="0"/>
        <w:spacing w:before="29" w:line="288" w:lineRule="auto"/>
        <w:jc w:val="right"/>
        <w:rPr>
          <w:color w:val="000000"/>
          <w:kern w:val="0"/>
          <w:sz w:val="24"/>
        </w:rPr>
      </w:pPr>
      <w:r w:rsidRPr="00D005B0">
        <w:rPr>
          <w:rFonts w:hint="eastAsia"/>
          <w:color w:val="000000"/>
          <w:kern w:val="0"/>
          <w:sz w:val="24"/>
        </w:rPr>
        <w:t/>
      </w:r>
      <w:r w:rsidRPr="00D005B0">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05"/>
        <w:gridCol w:w="2802"/>
        <w:gridCol w:w="3118"/>
        <w:gridCol w:w="2143"/>
      </w:tblGrid>
      <w:tr w:rsidR="00363E15" w:rsidRPr="008640AE" w:rsidTr="007F7FBA">
        <w:trPr>
          <w:jc w:val="center"/>
        </w:trPr>
        <w:tc>
          <w:tcPr>
            <w:tcW w:type="dxa" w:w="80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2802"/>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3118"/>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p>
        </w:tc>
        <w:tc>
          <w:tcPr>
            <w:tcW w:type="dxa" w:w="2143"/>
            <w:shd w:color="auto" w:fill="auto" w:val="clear"/>
            <w:vAlign w:val="center"/>
          </w:tcPr>
          <w:p w:rsidP="007F7FBA" w:rsidR="00363E15" w:rsidRDefault="00363E15" w:rsidRPr="008640AE">
            <w:pPr>
              <w:spacing w:before="29" w:line="288" w:lineRule="auto"/>
              <w:ind w:left="17"/>
              <w:jc w:val="center"/>
              <w:rPr>
                <w:color w:val="000000"/>
                <w:sz w:val="24"/>
              </w:rPr>
            </w:pPr>
            <w:r w:rsidRPr="008640AE">
              <w:rPr>
                <w:color w:val="000000"/>
                <w:sz w:val="24"/>
              </w:rPr>
              <w:t>占基金总资产的比例</w:t>
            </w:r>
            <w:r w:rsidR="007F7FBA">
              <w:rPr>
                <w:rFonts w:hint="eastAsia"/>
                <w:color w:val="000000"/>
                <w:sz w:val="24"/>
              </w:rPr>
              <w:t>(</w:t>
            </w:r>
            <w:r w:rsidR="007F7FBA">
              <w:rPr>
                <w:color w:val="000000"/>
                <w:sz w:val="24"/>
              </w:rPr>
              <w:t>%</w:t>
            </w:r>
            <w:r w:rsidR="007F7FBA">
              <w:rPr>
                <w:rFonts w:hint="eastAsia"/>
                <w:color w:val="000000"/>
                <w:sz w:val="24"/>
              </w:rPr>
              <w:t>)</w:t>
            </w:r>
          </w:p>
        </w:tc>
      </w:tr>
      <w:tr w:rsidR="00363E15" w:rsidRPr="008640AE" w:rsidTr="007F7FBA">
        <w:trPr>
          <w:jc w:val="center"/>
        </w:trPr>
        <w:tc>
          <w:tcPr>
            <w:tcW w:type="dxa" w:w="80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2802"/>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3118"/>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1,158,594,559.32</w:t>
            </w:r>
          </w:p>
        </w:tc>
        <w:tc>
          <w:tcPr>
            <w:tcW w:type="dxa" w:w="2143"/>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93.56</w:t>
            </w:r>
          </w:p>
        </w:tc>
      </w:tr>
      <w:tr w:rsidR="00363E15" w:rsidRPr="008640AE" w:rsidTr="007F7FBA">
        <w:trPr>
          <w:jc w:val="center"/>
        </w:trPr>
        <w:tc>
          <w:tcPr>
            <w:tcW w:type="dxa" w:w="805"/>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2802"/>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3118"/>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327,266,054.40</w:t>
            </w:r>
          </w:p>
        </w:tc>
        <w:tc>
          <w:tcPr>
            <w:tcW w:type="dxa" w:w="2143"/>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26.43</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831,328,504.92</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67.13</w:t>
            </w:r>
          </w:p>
        </w:tc>
      </w:tr>
      <w:tr w:rsidR="00CE4499" w:rsidRPr="008640AE" w:rsidTr="007F7FBA">
        <w:trPr>
          <w:jc w:val="center"/>
        </w:trPr>
        <w:tc>
          <w:tcPr>
            <w:tcW w:type="dxa" w:w="805"/>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2802"/>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3118"/>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7F7FBA">
        <w:trPr>
          <w:jc w:val="center"/>
        </w:trPr>
        <w:tc>
          <w:tcPr>
            <w:tcW w:type="dxa" w:w="805"/>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2802"/>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r w:rsidR="00D005B0" w:rsidRPr="008640AE">
              <w:rPr>
                <w:color w:val="000000"/>
                <w:sz w:val="24"/>
              </w:rPr>
              <w:t>凭证</w:t>
            </w:r>
          </w:p>
        </w:tc>
        <w:tc>
          <w:tcPr>
            <w:tcW w:type="dxa" w:w="3118"/>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2</w:t>
            </w:r>
          </w:p>
        </w:tc>
        <w:tc>
          <w:tcPr>
            <w:tcW w:type="dxa" w:w="2802"/>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3118"/>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3</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5</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2802"/>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3118"/>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60,384,966.48</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4.88</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8</w:t>
            </w:r>
          </w:p>
        </w:tc>
        <w:tc>
          <w:tcPr>
            <w:tcW w:type="dxa" w:w="2802"/>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t>其他</w:t>
            </w:r>
            <w:r w:rsidR="00C12856">
              <w:rPr>
                <w:rFonts w:hint="eastAsia"/>
                <w:color w:val="000000"/>
                <w:sz w:val="24"/>
              </w:rPr>
              <w:t>各项</w:t>
            </w:r>
            <w:r w:rsidR="00E462F4" w:rsidRPr="008640AE">
              <w:rPr>
                <w:color w:val="000000"/>
                <w:sz w:val="24"/>
              </w:rPr>
              <w:t>资产</w:t>
            </w:r>
          </w:p>
        </w:tc>
        <w:tc>
          <w:tcPr>
            <w:tcW w:type="dxa" w:w="3118"/>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19,375,313.46</w:t>
            </w:r>
          </w:p>
        </w:tc>
        <w:tc>
          <w:tcPr>
            <w:tcW w:type="dxa" w:w="2143"/>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1.56</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9</w:t>
            </w:r>
          </w:p>
        </w:tc>
        <w:tc>
          <w:tcPr>
            <w:tcW w:type="dxa" w:w="2802"/>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3118"/>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1,238,354,839.26</w:t>
            </w:r>
          </w:p>
        </w:tc>
        <w:tc>
          <w:tcPr>
            <w:tcW w:type="dxa" w:w="2143"/>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
            </w:r>
            <w:r w:rsidRPr="008640AE">
              <w:rPr>
                <w:color w:val="000000"/>
                <w:sz w:val="24"/>
              </w:rPr>
              <w:lastRenderedPageBreak/>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lastRenderedPageBreak/>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P="00173CEB" w:rsidR="00173CEB" w:rsidRDefault="00173CEB" w:rsidRPr="00173CEB">
      <w:pPr>
        <w:autoSpaceDE w:val="0"/>
        <w:autoSpaceDN w:val="0"/>
        <w:adjustRightInd w:val="0"/>
        <w:spacing w:before="29" w:line="288" w:lineRule="auto"/>
        <w:jc w:val="right"/>
        <w:rPr>
          <w:color w:val="000000"/>
          <w:kern w:val="0"/>
          <w:sz w:val="24"/>
        </w:rPr>
      </w:pPr>
      <w:r w:rsidRPr="00173CEB">
        <w:rPr>
          <w:rFonts w:hint="eastAsia"/>
          <w:color w:val="000000"/>
          <w:kern w:val="0"/>
          <w:sz w:val="24"/>
        </w:rPr>
        <w:t/>
      </w:r>
      <w:r w:rsidRPr="00173CEB">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850,858,265.93</w:t>
            </w:r>
          </w:p>
        </w:tc>
        <w:tc>
          <w:tcPr>
            <w:vAlign w:val="center"/>
          </w:tcPr>
          <w:p>
            <w:pPr>
              <w:jc w:val="right"/>
            </w:pPr>
            <w:r>
              <w:rPr>
                <w:color w:val="000000"/>
                <w:sz w:val="24"/>
              </w:rPr>
              <w:t>70.40</w:t>
            </w:r>
          </w:p>
        </w:tc>
      </w:tr>
      <w:tr>
        <w:tc>
          <w:tcPr>
            <w:vAlign w:val="center"/>
          </w:tcPr>
          <w:p>
            <w:pPr>
              <w:jc w:val="left"/>
            </w:pPr>
            <w:r>
              <w:rPr>
                <w:color w:val="000000"/>
                <w:sz w:val="24"/>
              </w:rPr>
              <w:t>香港</w:t>
            </w:r>
          </w:p>
        </w:tc>
        <w:tc>
          <w:tcPr>
            <w:vAlign w:val="center"/>
          </w:tcPr>
          <w:p>
            <w:pPr>
              <w:jc w:val="right"/>
            </w:pPr>
            <w:r>
              <w:rPr>
                <w:color w:val="000000"/>
                <w:sz w:val="24"/>
              </w:rPr>
              <w:t>307,736,293.39</w:t>
            </w:r>
          </w:p>
        </w:tc>
        <w:tc>
          <w:tcPr>
            <w:vAlign w:val="center"/>
          </w:tcPr>
          <w:p>
            <w:pPr>
              <w:jc w:val="right"/>
            </w:pPr>
            <w:r>
              <w:rPr>
                <w:color w:val="000000"/>
                <w:sz w:val="24"/>
              </w:rPr>
              <w:t>25.46</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1,158,594,559.32</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95.87</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P="00C612DC" w:rsidR="00C612DC" w:rsidRDefault="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p w:rsidP="001C3D24" w:rsidR="001C3D24" w:rsidRDefault="001C3D24" w:rsidRPr="001C3D24">
      <w:pPr>
        <w:autoSpaceDE w:val="0"/>
        <w:autoSpaceDN w:val="0"/>
        <w:adjustRightInd w:val="0"/>
        <w:spacing w:before="29" w:line="288" w:lineRule="auto"/>
        <w:jc w:val="right"/>
        <w:rPr>
          <w:color w:val="000000"/>
          <w:kern w:val="0"/>
          <w:sz w:val="24"/>
        </w:rPr>
      </w:pPr>
      <w:r w:rsidRPr="001C3D24">
        <w:rPr>
          <w:rFonts w:hint="eastAsia"/>
          <w:color w:val="000000"/>
          <w:kern w:val="0"/>
          <w:sz w:val="24"/>
        </w:rPr>
        <w:t/>
      </w:r>
      <w:r w:rsidRPr="001C3D24">
        <w:rPr>
          <w:rFonts w:hint="eastAsia"/>
          <w:color w:val="000000"/>
          <w:kern w:val="0"/>
          <w:sz w:val="24"/>
        </w:rPr>
        <w:t>金额单位：人民币元</w:t>
      </w:r>
    </w:p>
    <w:tbl>
      <w:tblPr>
        <w:tblStyle w:val="af7"/>
        <w:tblW w:type="auto" w:w="0"/>
        <w:tblInd w:type="dxa" w:w="15"/>
        <w:tblLayout w:type="fixed"/>
        <w:tblLook w:firstColumn="1" w:firstRow="1" w:lastColumn="0" w:lastRow="0" w:noHBand="0" w:noVBand="1" w:val="04A0"/>
      </w:tblPr>
      <w:tblGrid>
        <w:gridCol w:w="2787"/>
        <w:gridCol w:w="2976"/>
        <w:gridCol w:w="3261"/>
      </w:tblGrid>
      <w:tr w:rsidR="00C612DC" w:rsidRPr="00820253" w:rsidTr="00DB2E09">
        <w:tc>
          <w:tcPr>
            <w:tcW w:type="dxa" w:w="2787"/>
            <w:vAlign w:val="center"/>
          </w:tcPr>
          <w:p w:rsidP="00C612DC" w:rsidR="00C612DC" w:rsidRDefault="00C612DC" w:rsidRPr="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r w:rsidRPr="00C612DC">
              <w:rPr>
                <w:rFonts w:hint="eastAsia"/>
                <w:color w:val="000000"/>
                <w:kern w:val="0"/>
                <w:sz w:val="24"/>
              </w:rPr>
              <w:t/>
            </w:r>
          </w:p>
        </w:tc>
        <w:tc>
          <w:tcPr>
            <w:tcW w:type="dxa" w:w="2976"/>
            <w:vAlign w:val="center"/>
          </w:tcPr>
          <w:p w:rsidP="004C1FC8" w:rsidR="00C612DC" w:rsidRDefault="001C3D24" w:rsidRPr="00820253">
            <w:pPr>
              <w:autoSpaceDE w:val="0"/>
              <w:autoSpaceDN w:val="0"/>
              <w:adjustRightInd w:val="0"/>
              <w:spacing w:before="29" w:line="360" w:lineRule="auto"/>
              <w:ind w:left="15"/>
              <w:jc w:val="center"/>
              <w:rPr>
                <w:rFonts w:asciiTheme="minorEastAsia" w:cs="Arial" w:eastAsiaTheme="minorEastAsia" w:hAnsiTheme="minorEastAsia"/>
                <w:color w:val="000000"/>
                <w:kern w:val="0"/>
                <w:sz w:val="24"/>
              </w:rPr>
            </w:pPr>
            <w:r>
              <w:rPr>
                <w:rFonts w:asciiTheme="minorEastAsia" w:cs="Arial" w:eastAsiaTheme="minorEastAsia" w:hAnsiTheme="minorEastAsia" w:hint="eastAsia"/>
                <w:color w:val="000000"/>
                <w:kern w:val="0"/>
                <w:sz w:val="24"/>
              </w:rPr>
              <w:t>公允价值</w:t>
            </w:r>
          </w:p>
        </w:tc>
        <w:tc>
          <w:tcPr>
            <w:tcW w:type="dxa" w:w="3261"/>
            <w:vAlign w:val="center"/>
          </w:tcPr>
          <w:p w:rsidP="004C1FC8" w:rsidR="00C612DC" w:rsidRDefault="00C612DC" w:rsidRPr="00820253">
            <w:pPr>
              <w:autoSpaceDE w:val="0"/>
              <w:autoSpaceDN w:val="0"/>
              <w:adjustRightInd w:val="0"/>
              <w:spacing w:before="29" w:line="360" w:lineRule="auto"/>
              <w:ind w:left="15"/>
              <w:jc w:val="center"/>
              <w:rPr>
                <w:rFonts w:asciiTheme="minorEastAsia" w:cs="Arial" w:eastAsiaTheme="minorEastAsia" w:hAnsiTheme="minorEastAsia"/>
                <w:color w:val="000000"/>
                <w:kern w:val="0"/>
                <w:sz w:val="24"/>
              </w:rPr>
            </w:pPr>
            <w:r w:rsidRPr="00820253">
              <w:rPr>
                <w:rFonts w:asciiTheme="minorEastAsia" w:cs="Arial" w:eastAsiaTheme="minorEastAsia" w:hAnsiTheme="minorEastAsia" w:hint="eastAsia"/>
                <w:color w:val="000000"/>
                <w:kern w:val="0"/>
                <w:sz w:val="24"/>
              </w:rPr>
              <w:t>占基金资产净值比例（％）</w:t>
            </w:r>
          </w:p>
        </w:tc>
      </w:tr>
      <w:tr>
        <w:tc>
          <w:tcPr>
            <w:vAlign w:val="center"/>
          </w:tcPr>
          <w:p>
            <w:pPr>
              <w:jc w:val="left"/>
            </w:pPr>
            <w:r>
              <w:rPr>
                <w:color w:val="000000"/>
                <w:sz w:val="24"/>
              </w:rPr>
              <w:t>信息技术</w:t>
            </w:r>
          </w:p>
        </w:tc>
        <w:tc>
          <w:tcPr>
            <w:vAlign w:val="center"/>
          </w:tcPr>
          <w:p>
            <w:pPr>
              <w:jc w:val="right"/>
            </w:pPr>
            <w:r>
              <w:rPr>
                <w:color w:val="000000"/>
                <w:sz w:val="24"/>
              </w:rPr>
              <w:t>12,265,560.72</w:t>
            </w:r>
          </w:p>
        </w:tc>
        <w:tc>
          <w:tcPr>
            <w:vAlign w:val="center"/>
          </w:tcPr>
          <w:p>
            <w:pPr>
              <w:jc w:val="right"/>
            </w:pPr>
            <w:r>
              <w:rPr>
                <w:color w:val="000000"/>
                <w:sz w:val="24"/>
              </w:rPr>
              <w:t>1.01</w:t>
            </w:r>
          </w:p>
        </w:tc>
      </w:tr>
      <w:tr>
        <w:tc>
          <w:tcPr>
            <w:vAlign w:val="center"/>
          </w:tcPr>
          <w:p>
            <w:pPr>
              <w:jc w:val="left"/>
            </w:pPr>
            <w:r>
              <w:rPr>
                <w:color w:val="000000"/>
                <w:sz w:val="24"/>
              </w:rPr>
              <w:t>非必需消费品</w:t>
            </w:r>
          </w:p>
        </w:tc>
        <w:tc>
          <w:tcPr>
            <w:vAlign w:val="center"/>
          </w:tcPr>
          <w:p>
            <w:pPr>
              <w:jc w:val="right"/>
            </w:pPr>
            <w:r>
              <w:rPr>
                <w:color w:val="000000"/>
                <w:sz w:val="24"/>
              </w:rPr>
              <w:t>534,357,175.70</w:t>
            </w:r>
          </w:p>
        </w:tc>
        <w:tc>
          <w:tcPr>
            <w:vAlign w:val="center"/>
          </w:tcPr>
          <w:p>
            <w:pPr>
              <w:jc w:val="right"/>
            </w:pPr>
            <w:r>
              <w:rPr>
                <w:color w:val="000000"/>
                <w:sz w:val="24"/>
              </w:rPr>
              <w:t>44.21</w:t>
            </w:r>
          </w:p>
        </w:tc>
      </w:tr>
      <w:tr>
        <w:tc>
          <w:tcPr>
            <w:vAlign w:val="center"/>
          </w:tcPr>
          <w:p>
            <w:pPr>
              <w:jc w:val="left"/>
            </w:pPr>
            <w:r>
              <w:rPr>
                <w:color w:val="000000"/>
                <w:sz w:val="24"/>
              </w:rPr>
              <w:t>电信服务</w:t>
            </w:r>
          </w:p>
        </w:tc>
        <w:tc>
          <w:tcPr>
            <w:vAlign w:val="center"/>
          </w:tcPr>
          <w:p>
            <w:pPr>
              <w:jc w:val="right"/>
            </w:pPr>
            <w:r>
              <w:rPr>
                <w:color w:val="000000"/>
                <w:sz w:val="24"/>
              </w:rPr>
              <w:t>580,124,475.69</w:t>
            </w:r>
          </w:p>
        </w:tc>
        <w:tc>
          <w:tcPr>
            <w:vAlign w:val="center"/>
          </w:tcPr>
          <w:p>
            <w:pPr>
              <w:jc w:val="right"/>
            </w:pPr>
            <w:r>
              <w:rPr>
                <w:color w:val="000000"/>
                <w:sz w:val="24"/>
              </w:rPr>
              <w:t>48.00</w:t>
            </w:r>
          </w:p>
        </w:tc>
      </w:tr>
      <w:tr>
        <w:tc>
          <w:tcPr>
            <w:vAlign w:val="center"/>
          </w:tcPr>
          <w:p>
            <w:pPr>
              <w:jc w:val="left"/>
            </w:pPr>
            <w:r>
              <w:rPr>
                <w:color w:val="000000"/>
                <w:sz w:val="24"/>
              </w:rPr>
              <w:t>工业</w:t>
            </w:r>
          </w:p>
        </w:tc>
        <w:tc>
          <w:tcPr>
            <w:vAlign w:val="center"/>
          </w:tcPr>
          <w:p>
            <w:pPr>
              <w:jc w:val="right"/>
            </w:pPr>
            <w:r>
              <w:rPr>
                <w:color w:val="000000"/>
                <w:sz w:val="24"/>
              </w:rPr>
              <w:t>16,571,196.43</w:t>
            </w:r>
          </w:p>
        </w:tc>
        <w:tc>
          <w:tcPr>
            <w:vAlign w:val="center"/>
          </w:tcPr>
          <w:p>
            <w:pPr>
              <w:jc w:val="right"/>
            </w:pPr>
            <w:r>
              <w:rPr>
                <w:color w:val="000000"/>
                <w:sz w:val="24"/>
              </w:rPr>
              <w:t>1.37</w:t>
            </w:r>
          </w:p>
        </w:tc>
      </w:tr>
      <w:tr>
        <w:tc>
          <w:tcPr>
            <w:vAlign w:val="center"/>
          </w:tcPr>
          <w:p>
            <w:pPr>
              <w:jc w:val="left"/>
            </w:pPr>
            <w:r>
              <w:rPr>
                <w:color w:val="000000"/>
                <w:sz w:val="24"/>
              </w:rPr>
              <w:t>金融</w:t>
            </w:r>
          </w:p>
        </w:tc>
        <w:tc>
          <w:tcPr>
            <w:vAlign w:val="center"/>
          </w:tcPr>
          <w:p>
            <w:pPr>
              <w:jc w:val="right"/>
            </w:pPr>
            <w:r>
              <w:rPr>
                <w:color w:val="000000"/>
                <w:sz w:val="24"/>
              </w:rPr>
              <w:t>15,276,150.78</w:t>
            </w:r>
          </w:p>
        </w:tc>
        <w:tc>
          <w:tcPr>
            <w:vAlign w:val="center"/>
          </w:tcPr>
          <w:p>
            <w:pPr>
              <w:jc w:val="right"/>
            </w:pPr>
            <w:r>
              <w:rPr>
                <w:color w:val="000000"/>
                <w:sz w:val="24"/>
              </w:rPr>
              <w:t>1.26</w:t>
            </w:r>
          </w:p>
        </w:tc>
      </w:tr>
      <w:tr w:rsidR="00C612DC" w:rsidRPr="00C612DC" w:rsidTr="00DB2E09">
        <w:tc>
          <w:tcPr>
            <w:tcW w:type="dxa" w:w="2787"/>
            <w:vAlign w:val="center"/>
          </w:tcPr>
          <w:p w:rsidP="00C612DC" w:rsidR="00C612DC" w:rsidRDefault="00C612DC" w:rsidRPr="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type="dxa" w:w="2976"/>
            <w:vAlign w:val="center"/>
          </w:tcPr>
          <w:p w:rsidP="00C612DC" w:rsidR="00C612DC" w:rsidRDefault="00C612DC" w:rsidRPr="00C612DC">
            <w:pPr>
              <w:autoSpaceDE w:val="0"/>
              <w:autoSpaceDN w:val="0"/>
              <w:adjustRightInd w:val="0"/>
              <w:spacing w:before="29" w:line="288" w:lineRule="auto"/>
              <w:jc w:val="center"/>
              <w:rPr>
                <w:color w:val="000000"/>
                <w:sz w:val="24"/>
              </w:rPr>
            </w:pPr>
            <w:r w:rsidRPr="00C612DC">
              <w:rPr>
                <w:color w:val="000000"/>
                <w:sz w:val="24"/>
              </w:rPr>
              <w:t>1,158,594,559.32</w:t>
            </w:r>
          </w:p>
        </w:tc>
        <w:tc>
          <w:tcPr>
            <w:tcW w:type="dxa" w:w="3261"/>
            <w:vAlign w:val="center"/>
          </w:tcPr>
          <w:p w:rsidP="00C612DC" w:rsidR="00C612DC" w:rsidRDefault="00C612DC" w:rsidRPr="00C612DC">
            <w:pPr>
              <w:autoSpaceDE w:val="0"/>
              <w:autoSpaceDN w:val="0"/>
              <w:adjustRightInd w:val="0"/>
              <w:spacing w:before="29" w:line="288" w:lineRule="auto"/>
              <w:jc w:val="center"/>
              <w:rPr>
                <w:color w:val="000000"/>
                <w:sz w:val="24"/>
              </w:rPr>
            </w:pPr>
            <w:r w:rsidRPr="00C612DC">
              <w:rPr>
                <w:color w:val="000000"/>
                <w:sz w:val="24"/>
              </w:rPr>
              <w:t>95.87</w:t>
            </w:r>
          </w:p>
        </w:tc>
      </w:tr>
    </w:tbl>
    <w:p w:rsidP="005546C0" w:rsidR="005B6AC7" w:rsidRDefault="00363E15">
      <w:pPr>
        <w:autoSpaceDE w:val="0"/>
        <w:autoSpaceDN w:val="0"/>
        <w:adjustRightInd w:val="0"/>
        <w:spacing w:before="29" w:line="288" w:lineRule="auto"/>
        <w:jc w:val="left"/>
        <w:rPr>
          <w:color w:val="000000"/>
          <w:sz w:val="24"/>
        </w:rPr>
      </w:pPr>
      <w:r w:rsidRPr="008640AE">
        <w:rPr>
          <w:color w:val="000000"/>
          <w:sz w:val="24"/>
        </w:rPr>
        <w:t/>
      </w:r>
      <w:r w:rsidR="000A521D" w:rsidRPr="008640AE">
        <w:rPr>
          <w:color w:val="000000"/>
          <w:sz w:val="24"/>
        </w:rPr>
        <w:t>注：以上分类采用全球行业分类标准（GICS）。</w:t>
      </w:r>
    </w:p>
    <w:p w:rsidP="005546C0" w:rsidR="00C612DC" w:rsidRDefault="00C612DC" w:rsidRPr="008640AE">
      <w:pPr>
        <w:autoSpaceDE w:val="0"/>
        <w:autoSpaceDN w:val="0"/>
        <w:adjustRightInd w:val="0"/>
        <w:spacing w:before="29" w:line="288" w:lineRule="auto"/>
        <w:jc w:val="left"/>
        <w:rPr>
          <w:color w:val="000000"/>
          <w:sz w:val="24"/>
        </w:rPr>
      </w:pPr>
    </w:p>
    <w:p w:rsidP="00C612DC" w:rsidR="00C612DC" w:rsidRDefault="00ED6B0D">
      <w:pPr>
        <w:autoSpaceDE w:val="0"/>
        <w:autoSpaceDN w:val="0"/>
        <w:adjustRightInd w:val="0"/>
        <w:spacing w:before="29" w:line="288" w:lineRule="auto"/>
        <w:jc w:val="left"/>
        <w:rPr>
          <w:b/>
          <w:color w:val="000000"/>
          <w:kern w:val="0"/>
          <w:sz w:val="24"/>
        </w:rPr>
      </w:pPr>
      <w:r w:rsidRPr="008640AE">
        <w:rPr>
          <w:color w:val="000000"/>
          <w:kern w:val="0"/>
          <w:sz w:val="24"/>
        </w:rPr>
        <w:t/>
      </w:r>
      <w:smartTag w:element="chsdate" w:uri="urn:schemas-microsoft-com:office:smarttags">
        <w:smartTagPr>
          <w:attr w:name="Year" w:val="1899"/>
          <w:attr w:name="Month" w:val="12"/>
          <w:attr w:name="Day" w:val="30"/>
          <w:attr w:name="IsLunarDate" w:val="False"/>
          <w:attr w:name="IsROCDate" w:val="False"/>
        </w:smartTagPr>
        <w:r w:rsidR="00C612DC" w:rsidRPr="00C612DC">
          <w:rPr>
            <w:rFonts w:hint="eastAsia"/>
            <w:b/>
            <w:color w:val="000000"/>
            <w:kern w:val="0"/>
            <w:sz w:val="24"/>
          </w:rPr>
          <w:t>5.3.2</w:t>
        </w:r>
      </w:smartTag>
      <w:r w:rsidR="00C612DC" w:rsidRPr="00C612DC">
        <w:rPr>
          <w:rFonts w:hint="eastAsia"/>
          <w:b/>
          <w:color w:val="000000"/>
          <w:kern w:val="0"/>
          <w:sz w:val="24"/>
        </w:rPr>
        <w:t>报告期末积极投资按行业分类的股票及存托凭证投资组合</w:t>
      </w:r>
    </w:p>
    <w:p w:rsidP="00C612DC" w:rsidR="00C612DC" w:rsidRDefault="00C612DC" w:rsidRPr="00C612DC">
      <w:pPr>
        <w:autoSpaceDE w:val="0"/>
        <w:autoSpaceDN w:val="0"/>
        <w:adjustRightInd w:val="0"/>
        <w:spacing w:before="29" w:line="288" w:lineRule="auto"/>
        <w:jc w:val="left"/>
        <w:rPr>
          <w:color w:val="000000"/>
          <w:sz w:val="24"/>
        </w:rPr>
      </w:pPr>
      <w:r w:rsidRPr="00C612DC">
        <w:rPr>
          <w:rFonts w:hint="eastAsia"/>
          <w:color w:val="000000"/>
          <w:sz w:val="24"/>
        </w:rPr>
        <w:t/>
      </w:r>
      <w:r w:rsidRPr="00C612DC">
        <w:rPr>
          <w:color w:val="000000"/>
          <w:sz w:val="24"/>
        </w:rPr>
        <w:t/>
      </w:r>
      <w:r w:rsidRPr="00C612DC">
        <w:rPr>
          <w:rFonts w:hint="eastAsia"/>
          <w:color w:val="000000"/>
          <w:sz w:val="24"/>
        </w:rPr>
        <w:t>本基金本报告期末未持有积极投资股票及存托凭证。</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P="006A77B5" w:rsidR="006A77B5" w:rsidRDefault="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type="auto" w:w="0"/>
        <w:tblInd w:type="dxa" w:w="15"/>
        <w:tblLook w:firstColumn="1" w:firstRow="1" w:lastColumn="0" w:lastRow="0" w:noHBand="0" w:noVBand="1" w:val="04A0"/>
      </w:tblPr>
      <w:tblGrid>
        <w:gridCol w:w="844"/>
        <w:gridCol w:w="971"/>
        <w:gridCol w:w="1048"/>
        <w:gridCol w:w="921"/>
        <w:gridCol w:w="843"/>
        <w:gridCol w:w="1048"/>
        <w:gridCol w:w="1252"/>
        <w:gridCol w:w="1048"/>
        <w:gridCol w:w="1252"/>
      </w:tblGrid>
      <w:tr w:rsidR="006A77B5" w:rsidRPr="00DB2E09" w:rsidTr="004C1FC8">
        <w:tc>
          <w:tcPr>
            <w:tcW w:type="dxa" w:w="817"/>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type="dxa" w:w="816"/>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type="dxa" w:w="816"/>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type="dxa" w:w="1108"/>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type="dxa" w:w="1108"/>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Tencent Holdings Ltd</w:t>
            </w:r>
          </w:p>
        </w:tc>
        <w:tc>
          <w:tcPr>
            <w:vAlign w:val="center"/>
          </w:tcPr>
          <w:p>
            <w:pPr>
              <w:jc w:val="center"/>
            </w:pPr>
            <w:r>
              <w:rPr>
                <w:color w:val="000000"/>
                <w:sz w:val="24"/>
              </w:rPr>
              <w:t>腾讯控股</w:t>
            </w:r>
          </w:p>
        </w:tc>
        <w:tc>
          <w:tcPr>
            <w:vAlign w:val="center"/>
          </w:tcPr>
          <w:p>
            <w:pPr>
              <w:jc w:val="center"/>
            </w:pPr>
            <w:r>
              <w:rPr>
                <w:color w:val="000000"/>
                <w:sz w:val="24"/>
              </w:rPr>
              <w:t>700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398,900</w:t>
            </w:r>
          </w:p>
        </w:tc>
        <w:tc>
          <w:tcPr>
            <w:vAlign w:val="center"/>
          </w:tcPr>
          <w:p>
            <w:pPr>
              <w:jc w:val="right"/>
            </w:pPr>
            <w:r>
              <w:rPr>
                <w:color w:val="000000"/>
                <w:sz w:val="24"/>
              </w:rPr>
              <w:t>118,837,397.87</w:t>
            </w:r>
          </w:p>
        </w:tc>
        <w:tc>
          <w:tcPr>
            <w:vAlign w:val="center"/>
          </w:tcPr>
          <w:p>
            <w:pPr>
              <w:jc w:val="right"/>
            </w:pPr>
            <w:r>
              <w:rPr>
                <w:color w:val="000000"/>
                <w:sz w:val="24"/>
              </w:rPr>
              <w:t>9.83</w:t>
            </w:r>
          </w:p>
        </w:tc>
      </w:tr>
      <w:tr>
        <w:tc>
          <w:tcPr>
            <w:vAlign w:val="center"/>
          </w:tcPr>
          <w:p>
            <w:pPr>
              <w:jc w:val="center"/>
            </w:pPr>
            <w:r>
              <w:rPr>
                <w:color w:val="000000"/>
                <w:sz w:val="24"/>
              </w:rPr>
              <w:t>2</w:t>
            </w:r>
          </w:p>
        </w:tc>
        <w:tc>
          <w:tcPr>
            <w:vAlign w:val="center"/>
          </w:tcPr>
          <w:p>
            <w:pPr>
              <w:jc w:val="center"/>
            </w:pPr>
            <w:r>
              <w:rPr>
                <w:color w:val="000000"/>
                <w:sz w:val="24"/>
              </w:rPr>
              <w:t>Alibaba Group Holding Ltd</w:t>
            </w:r>
          </w:p>
        </w:tc>
        <w:tc>
          <w:tcPr>
            <w:vAlign w:val="center"/>
          </w:tcPr>
          <w:p>
            <w:pPr>
              <w:jc w:val="center"/>
            </w:pPr>
            <w:r>
              <w:rPr>
                <w:color w:val="000000"/>
                <w:sz w:val="24"/>
              </w:rPr>
              <w:t>阿里巴巴集团控股有限公司</w:t>
            </w:r>
          </w:p>
        </w:tc>
        <w:tc>
          <w:tcPr>
            <w:vAlign w:val="center"/>
          </w:tcPr>
          <w:p>
            <w:pPr>
              <w:jc w:val="center"/>
            </w:pPr>
            <w:r>
              <w:rPr>
                <w:color w:val="000000"/>
                <w:sz w:val="24"/>
              </w:rPr>
              <w:t>BABA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96,547</w:t>
            </w:r>
          </w:p>
        </w:tc>
        <w:tc>
          <w:tcPr>
            <w:vAlign w:val="center"/>
          </w:tcPr>
          <w:p>
            <w:pPr>
              <w:jc w:val="right"/>
            </w:pPr>
            <w:r>
              <w:rPr>
                <w:color w:val="000000"/>
                <w:sz w:val="24"/>
              </w:rPr>
              <w:t>114,195,894.62</w:t>
            </w:r>
          </w:p>
        </w:tc>
        <w:tc>
          <w:tcPr>
            <w:vAlign w:val="center"/>
          </w:tcPr>
          <w:p>
            <w:pPr>
              <w:jc w:val="right"/>
            </w:pPr>
            <w:r>
              <w:rPr>
                <w:color w:val="000000"/>
                <w:sz w:val="24"/>
              </w:rPr>
              <w:t>9.45</w:t>
            </w:r>
          </w:p>
        </w:tc>
      </w:tr>
      <w:tr>
        <w:tc>
          <w:tcPr>
            <w:vAlign w:val="center"/>
          </w:tcPr>
          <w:p>
            <w:pPr>
              <w:jc w:val="center"/>
            </w:pPr>
            <w:r>
              <w:rPr>
                <w:color w:val="000000"/>
                <w:sz w:val="24"/>
              </w:rPr>
              <w:t>3</w:t>
            </w:r>
          </w:p>
        </w:tc>
        <w:tc>
          <w:tcPr>
            <w:vAlign w:val="center"/>
          </w:tcPr>
          <w:p>
            <w:pPr>
              <w:jc w:val="center"/>
            </w:pPr>
            <w:r>
              <w:rPr>
                <w:color w:val="000000"/>
                <w:sz w:val="24"/>
              </w:rPr>
              <w:t>Meituan Dianping</w:t>
            </w:r>
          </w:p>
        </w:tc>
        <w:tc>
          <w:tcPr>
            <w:vAlign w:val="center"/>
          </w:tcPr>
          <w:p>
            <w:pPr>
              <w:jc w:val="center"/>
            </w:pPr>
            <w:r>
              <w:rPr>
                <w:color w:val="000000"/>
                <w:sz w:val="24"/>
              </w:rPr>
              <w:t>美团点评</w:t>
            </w:r>
          </w:p>
        </w:tc>
        <w:tc>
          <w:tcPr>
            <w:vAlign w:val="center"/>
          </w:tcPr>
          <w:p>
            <w:pPr>
              <w:jc w:val="center"/>
            </w:pPr>
            <w:r>
              <w:rPr>
                <w:color w:val="000000"/>
                <w:sz w:val="24"/>
              </w:rPr>
              <w:t>3690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1,566,100</w:t>
            </w:r>
          </w:p>
        </w:tc>
        <w:tc>
          <w:tcPr>
            <w:vAlign w:val="center"/>
          </w:tcPr>
          <w:p>
            <w:pPr>
              <w:jc w:val="right"/>
            </w:pPr>
            <w:r>
              <w:rPr>
                <w:color w:val="000000"/>
                <w:sz w:val="24"/>
              </w:rPr>
              <w:t>113,178,526.14</w:t>
            </w:r>
          </w:p>
        </w:tc>
        <w:tc>
          <w:tcPr>
            <w:vAlign w:val="center"/>
          </w:tcPr>
          <w:p>
            <w:pPr>
              <w:jc w:val="right"/>
            </w:pPr>
            <w:r>
              <w:rPr>
                <w:color w:val="000000"/>
                <w:sz w:val="24"/>
              </w:rPr>
              <w:t>9.36</w:t>
            </w:r>
          </w:p>
        </w:tc>
      </w:tr>
      <w:tr>
        <w:tc>
          <w:tcPr>
            <w:vAlign w:val="center"/>
          </w:tcPr>
          <w:p>
            <w:pPr>
              <w:jc w:val="center"/>
            </w:pPr>
            <w:r>
              <w:rPr>
                <w:color w:val="000000"/>
                <w:sz w:val="24"/>
              </w:rPr>
              <w:t>4</w:t>
            </w:r>
          </w:p>
        </w:tc>
        <w:tc>
          <w:tcPr>
            <w:vAlign w:val="center"/>
          </w:tcPr>
          <w:p>
            <w:pPr>
              <w:jc w:val="center"/>
            </w:pPr>
            <w:r>
              <w:rPr>
                <w:color w:val="000000"/>
                <w:sz w:val="24"/>
              </w:rPr>
              <w:t>Baidu Inc</w:t>
            </w:r>
          </w:p>
        </w:tc>
        <w:tc>
          <w:tcPr>
            <w:vAlign w:val="center"/>
          </w:tcPr>
          <w:p>
            <w:pPr>
              <w:jc w:val="center"/>
            </w:pPr>
            <w:r>
              <w:rPr>
                <w:color w:val="000000"/>
                <w:sz w:val="24"/>
              </w:rPr>
              <w:t>百度</w:t>
            </w:r>
          </w:p>
        </w:tc>
        <w:tc>
          <w:tcPr>
            <w:vAlign w:val="center"/>
          </w:tcPr>
          <w:p>
            <w:pPr>
              <w:jc w:val="center"/>
            </w:pPr>
            <w:r>
              <w:rPr>
                <w:color w:val="000000"/>
                <w:sz w:val="24"/>
              </w:rPr>
              <w:t>BIDU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122,740</w:t>
            </w:r>
          </w:p>
        </w:tc>
        <w:tc>
          <w:tcPr>
            <w:vAlign w:val="center"/>
          </w:tcPr>
          <w:p>
            <w:pPr>
              <w:jc w:val="right"/>
            </w:pPr>
            <w:r>
              <w:rPr>
                <w:color w:val="000000"/>
                <w:sz w:val="24"/>
              </w:rPr>
              <w:t>89,208,807.18</w:t>
            </w:r>
          </w:p>
        </w:tc>
        <w:tc>
          <w:tcPr>
            <w:vAlign w:val="center"/>
          </w:tcPr>
          <w:p>
            <w:pPr>
              <w:jc w:val="right"/>
            </w:pPr>
            <w:r>
              <w:rPr>
                <w:color w:val="000000"/>
                <w:sz w:val="24"/>
              </w:rPr>
              <w:t>7.38</w:t>
            </w:r>
          </w:p>
        </w:tc>
      </w:tr>
      <w:tr>
        <w:tc>
          <w:tcPr>
            <w:vAlign w:val="center"/>
          </w:tcPr>
          <w:p>
            <w:pPr>
              <w:jc w:val="center"/>
            </w:pPr>
            <w:r>
              <w:rPr>
                <w:color w:val="000000"/>
                <w:sz w:val="24"/>
              </w:rPr>
              <w:t>5</w:t>
            </w:r>
          </w:p>
        </w:tc>
        <w:tc>
          <w:tcPr>
            <w:vAlign w:val="center"/>
          </w:tcPr>
          <w:p>
            <w:pPr>
              <w:jc w:val="center"/>
            </w:pPr>
            <w:r>
              <w:rPr>
                <w:color w:val="000000"/>
                <w:sz w:val="24"/>
              </w:rPr>
              <w:t>Pinduoduo Inc</w:t>
            </w:r>
          </w:p>
        </w:tc>
        <w:tc>
          <w:tcPr>
            <w:vAlign w:val="center"/>
          </w:tcPr>
          <w:p>
            <w:pPr>
              <w:jc w:val="center"/>
            </w:pPr>
            <w:r>
              <w:rPr>
                <w:color w:val="000000"/>
                <w:sz w:val="24"/>
              </w:rPr>
              <w:t>拼多多</w:t>
            </w:r>
          </w:p>
        </w:tc>
        <w:tc>
          <w:tcPr>
            <w:vAlign w:val="center"/>
          </w:tcPr>
          <w:p>
            <w:pPr>
              <w:jc w:val="center"/>
            </w:pPr>
            <w:r>
              <w:rPr>
                <w:color w:val="000000"/>
                <w:sz w:val="24"/>
              </w:rPr>
              <w:t>PDD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339,548</w:t>
            </w:r>
          </w:p>
        </w:tc>
        <w:tc>
          <w:tcPr>
            <w:vAlign w:val="center"/>
          </w:tcPr>
          <w:p>
            <w:pPr>
              <w:jc w:val="right"/>
            </w:pPr>
            <w:r>
              <w:rPr>
                <w:color w:val="000000"/>
                <w:sz w:val="24"/>
              </w:rPr>
              <w:t>77,379,199.17</w:t>
            </w:r>
          </w:p>
        </w:tc>
        <w:tc>
          <w:tcPr>
            <w:vAlign w:val="center"/>
          </w:tcPr>
          <w:p>
            <w:pPr>
              <w:jc w:val="right"/>
            </w:pPr>
            <w:r>
              <w:rPr>
                <w:color w:val="000000"/>
                <w:sz w:val="24"/>
              </w:rPr>
              <w:t>6.40</w:t>
            </w:r>
          </w:p>
        </w:tc>
      </w:tr>
      <w:tr>
        <w:tc>
          <w:tcPr>
            <w:vAlign w:val="center"/>
          </w:tcPr>
          <w:p>
            <w:pPr>
              <w:jc w:val="center"/>
            </w:pPr>
            <w:r>
              <w:rPr>
                <w:color w:val="000000"/>
                <w:sz w:val="24"/>
              </w:rPr>
              <w:t>6</w:t>
            </w:r>
          </w:p>
        </w:tc>
        <w:tc>
          <w:tcPr>
            <w:vAlign w:val="center"/>
          </w:tcPr>
          <w:p>
            <w:pPr>
              <w:jc w:val="center"/>
            </w:pPr>
            <w:r>
              <w:rPr>
                <w:color w:val="000000"/>
                <w:sz w:val="24"/>
              </w:rPr>
              <w:t>JD.com Inc</w:t>
            </w:r>
          </w:p>
        </w:tc>
        <w:tc>
          <w:tcPr>
            <w:vAlign w:val="center"/>
          </w:tcPr>
          <w:p>
            <w:pPr>
              <w:jc w:val="center"/>
            </w:pPr>
            <w:r>
              <w:rPr>
                <w:color w:val="000000"/>
                <w:sz w:val="24"/>
              </w:rPr>
              <w:t>京东</w:t>
            </w:r>
          </w:p>
        </w:tc>
        <w:tc>
          <w:tcPr>
            <w:vAlign w:val="center"/>
          </w:tcPr>
          <w:p>
            <w:pPr>
              <w:jc w:val="center"/>
            </w:pPr>
            <w:r>
              <w:rPr>
                <w:color w:val="000000"/>
                <w:sz w:val="24"/>
              </w:rPr>
              <w:t>JD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377,446</w:t>
            </w:r>
          </w:p>
        </w:tc>
        <w:tc>
          <w:tcPr>
            <w:vAlign w:val="center"/>
          </w:tcPr>
          <w:p>
            <w:pPr>
              <w:jc w:val="right"/>
            </w:pPr>
            <w:r>
              <w:rPr>
                <w:color w:val="000000"/>
                <w:sz w:val="24"/>
              </w:rPr>
              <w:t>75,310,482.72</w:t>
            </w:r>
          </w:p>
        </w:tc>
        <w:tc>
          <w:tcPr>
            <w:vAlign w:val="center"/>
          </w:tcPr>
          <w:p>
            <w:pPr>
              <w:jc w:val="right"/>
            </w:pPr>
            <w:r>
              <w:rPr>
                <w:color w:val="000000"/>
                <w:sz w:val="24"/>
              </w:rPr>
              <w:t>6.23</w:t>
            </w:r>
          </w:p>
        </w:tc>
      </w:tr>
      <w:tr>
        <w:tc>
          <w:tcPr>
            <w:vAlign w:val="center"/>
          </w:tcPr>
          <w:p>
            <w:pPr>
              <w:jc w:val="center"/>
            </w:pPr>
            <w:r>
              <w:rPr>
                <w:color w:val="000000"/>
                <w:sz w:val="24"/>
              </w:rPr>
              <w:t>7</w:t>
            </w:r>
          </w:p>
        </w:tc>
        <w:tc>
          <w:tcPr>
            <w:vAlign w:val="center"/>
          </w:tcPr>
          <w:p>
            <w:pPr>
              <w:jc w:val="center"/>
            </w:pPr>
            <w:r>
              <w:rPr>
                <w:color w:val="000000"/>
                <w:sz w:val="24"/>
              </w:rPr>
              <w:t>NetEase Inc</w:t>
            </w:r>
          </w:p>
        </w:tc>
        <w:tc>
          <w:tcPr>
            <w:vAlign w:val="center"/>
          </w:tcPr>
          <w:p>
            <w:pPr>
              <w:jc w:val="center"/>
            </w:pPr>
            <w:r>
              <w:rPr>
                <w:color w:val="000000"/>
                <w:sz w:val="24"/>
              </w:rPr>
              <w:t>网易公司</w:t>
            </w:r>
          </w:p>
        </w:tc>
        <w:tc>
          <w:tcPr>
            <w:vAlign w:val="center"/>
          </w:tcPr>
          <w:p>
            <w:pPr>
              <w:jc w:val="center"/>
            </w:pPr>
            <w:r>
              <w:rPr>
                <w:color w:val="000000"/>
                <w:sz w:val="24"/>
              </w:rPr>
              <w:t>NTES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26,098</w:t>
            </w:r>
          </w:p>
        </w:tc>
        <w:tc>
          <w:tcPr>
            <w:vAlign w:val="center"/>
          </w:tcPr>
          <w:p>
            <w:pPr>
              <w:jc w:val="right"/>
            </w:pPr>
            <w:r>
              <w:rPr>
                <w:color w:val="000000"/>
                <w:sz w:val="24"/>
              </w:rPr>
              <w:t>49,133,778.70</w:t>
            </w:r>
          </w:p>
        </w:tc>
        <w:tc>
          <w:tcPr>
            <w:vAlign w:val="center"/>
          </w:tcPr>
          <w:p>
            <w:pPr>
              <w:jc w:val="right"/>
            </w:pPr>
            <w:r>
              <w:rPr>
                <w:color w:val="000000"/>
                <w:sz w:val="24"/>
              </w:rPr>
              <w:t>4.07</w:t>
            </w:r>
          </w:p>
        </w:tc>
      </w:tr>
      <w:tr>
        <w:tc>
          <w:tcPr>
            <w:vAlign w:val="center"/>
          </w:tcPr>
          <w:p>
            <w:pPr>
              <w:jc w:val="center"/>
            </w:pPr>
            <w:r>
              <w:rPr>
                <w:color w:val="000000"/>
                <w:sz w:val="24"/>
              </w:rPr>
              <w:t>8</w:t>
            </w:r>
          </w:p>
        </w:tc>
        <w:tc>
          <w:tcPr>
            <w:vAlign w:val="center"/>
          </w:tcPr>
          <w:p>
            <w:pPr>
              <w:jc w:val="center"/>
            </w:pPr>
            <w:r>
              <w:rPr>
                <w:color w:val="000000"/>
                <w:sz w:val="24"/>
              </w:rPr>
              <w:t>TAL Education Group</w:t>
            </w:r>
          </w:p>
        </w:tc>
        <w:tc>
          <w:tcPr>
            <w:vAlign w:val="center"/>
          </w:tcPr>
          <w:p>
            <w:pPr>
              <w:jc w:val="center"/>
            </w:pPr>
            <w:r>
              <w:rPr>
                <w:color w:val="000000"/>
                <w:sz w:val="24"/>
              </w:rPr>
              <w:t>好未来教育集团</w:t>
            </w:r>
          </w:p>
        </w:tc>
        <w:tc>
          <w:tcPr>
            <w:vAlign w:val="center"/>
          </w:tcPr>
          <w:p>
            <w:pPr>
              <w:jc w:val="center"/>
            </w:pPr>
            <w:r>
              <w:rPr>
                <w:color w:val="000000"/>
                <w:sz w:val="24"/>
              </w:rPr>
              <w:t>TAL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192,275</w:t>
            </w:r>
          </w:p>
        </w:tc>
        <w:tc>
          <w:tcPr>
            <w:vAlign w:val="center"/>
          </w:tcPr>
          <w:p>
            <w:pPr>
              <w:jc w:val="right"/>
            </w:pPr>
            <w:r>
              <w:rPr>
                <w:color w:val="000000"/>
                <w:sz w:val="24"/>
              </w:rPr>
              <w:t>46,564,408.86</w:t>
            </w:r>
          </w:p>
        </w:tc>
        <w:tc>
          <w:tcPr>
            <w:vAlign w:val="center"/>
          </w:tcPr>
          <w:p>
            <w:pPr>
              <w:jc w:val="right"/>
            </w:pPr>
            <w:r>
              <w:rPr>
                <w:color w:val="000000"/>
                <w:sz w:val="24"/>
              </w:rPr>
              <w:t>3.85</w:t>
            </w:r>
          </w:p>
        </w:tc>
      </w:tr>
      <w:tr>
        <w:tc>
          <w:tcPr>
            <w:vAlign w:val="center"/>
          </w:tcPr>
          <w:p>
            <w:pPr>
              <w:jc w:val="center"/>
            </w:pPr>
            <w:r>
              <w:rPr>
                <w:color w:val="000000"/>
                <w:sz w:val="24"/>
              </w:rPr>
              <w:t>9</w:t>
            </w:r>
          </w:p>
        </w:tc>
        <w:tc>
          <w:tcPr>
            <w:vAlign w:val="center"/>
          </w:tcPr>
          <w:p>
            <w:pPr>
              <w:jc w:val="center"/>
            </w:pPr>
            <w:r>
              <w:rPr>
                <w:color w:val="000000"/>
                <w:sz w:val="24"/>
              </w:rPr>
              <w:t>Tencent Music Entertainment Group</w:t>
            </w:r>
          </w:p>
        </w:tc>
        <w:tc>
          <w:tcPr>
            <w:vAlign w:val="center"/>
          </w:tcPr>
          <w:p>
            <w:pPr>
              <w:jc w:val="center"/>
            </w:pPr>
            <w:r>
              <w:rPr>
                <w:color w:val="000000"/>
                <w:sz w:val="24"/>
              </w:rPr>
              <w:t>腾讯音乐娱乐集团</w:t>
            </w:r>
          </w:p>
        </w:tc>
        <w:tc>
          <w:tcPr>
            <w:vAlign w:val="center"/>
          </w:tcPr>
          <w:p>
            <w:pPr>
              <w:jc w:val="center"/>
            </w:pPr>
            <w:r>
              <w:rPr>
                <w:color w:val="000000"/>
                <w:sz w:val="24"/>
              </w:rPr>
              <w:t>TME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479,653</w:t>
            </w:r>
          </w:p>
        </w:tc>
        <w:tc>
          <w:tcPr>
            <w:vAlign w:val="center"/>
          </w:tcPr>
          <w:p>
            <w:pPr>
              <w:jc w:val="right"/>
            </w:pPr>
            <w:r>
              <w:rPr>
                <w:color w:val="000000"/>
                <w:sz w:val="24"/>
              </w:rPr>
              <w:t>43,322,706.48</w:t>
            </w:r>
          </w:p>
        </w:tc>
        <w:tc>
          <w:tcPr>
            <w:vAlign w:val="center"/>
          </w:tcPr>
          <w:p>
            <w:pPr>
              <w:jc w:val="right"/>
            </w:pPr>
            <w:r>
              <w:rPr>
                <w:color w:val="000000"/>
                <w:sz w:val="24"/>
              </w:rPr>
              <w:t>3.58</w:t>
            </w:r>
          </w:p>
        </w:tc>
      </w:tr>
      <w:tr>
        <w:tc>
          <w:tcPr>
            <w:vAlign w:val="center"/>
          </w:tcPr>
          <w:p>
            <w:pPr>
              <w:jc w:val="center"/>
            </w:pPr>
            <w:r>
              <w:rPr>
                <w:color w:val="000000"/>
                <w:sz w:val="24"/>
              </w:rPr>
              <w:t>10</w:t>
            </w:r>
          </w:p>
        </w:tc>
        <w:tc>
          <w:tcPr>
            <w:vAlign w:val="center"/>
          </w:tcPr>
          <w:p>
            <w:pPr>
              <w:jc w:val="center"/>
            </w:pPr>
            <w:r>
              <w:rPr>
                <w:color w:val="000000"/>
                <w:sz w:val="24"/>
              </w:rPr>
              <w:t>Ctrip.com International Ltd</w:t>
            </w:r>
          </w:p>
        </w:tc>
        <w:tc>
          <w:tcPr>
            <w:vAlign w:val="center"/>
          </w:tcPr>
          <w:p>
            <w:pPr>
              <w:jc w:val="center"/>
            </w:pPr>
            <w:r>
              <w:rPr>
                <w:color w:val="000000"/>
                <w:sz w:val="24"/>
              </w:rPr>
              <w:t>携程旅行网国际有限公司</w:t>
            </w:r>
          </w:p>
        </w:tc>
        <w:tc>
          <w:tcPr>
            <w:vAlign w:val="center"/>
          </w:tcPr>
          <w:p>
            <w:pPr>
              <w:jc w:val="center"/>
            </w:pPr>
            <w:r>
              <w:rPr>
                <w:color w:val="000000"/>
                <w:sz w:val="24"/>
              </w:rPr>
              <w:t>CTRP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195,414</w:t>
            </w:r>
          </w:p>
        </w:tc>
        <w:tc>
          <w:tcPr>
            <w:vAlign w:val="center"/>
          </w:tcPr>
          <w:p>
            <w:pPr>
              <w:jc w:val="right"/>
            </w:pPr>
            <w:r>
              <w:rPr>
                <w:color w:val="000000"/>
                <w:sz w:val="24"/>
              </w:rPr>
              <w:t>40,482,988.40</w:t>
            </w:r>
          </w:p>
        </w:tc>
        <w:tc>
          <w:tcPr>
            <w:vAlign w:val="center"/>
          </w:tcPr>
          <w:p>
            <w:pPr>
              <w:jc w:val="right"/>
            </w:pPr>
            <w:r>
              <w:rPr>
                <w:color w:val="000000"/>
                <w:sz w:val="24"/>
              </w:rPr>
              <w:t>3.35</w:t>
            </w:r>
          </w:p>
        </w:tc>
      </w:tr>
    </w:tbl>
    <w:p w:rsidP="005546C0" w:rsidR="00521EDE" w:rsidRDefault="00521EDE">
      <w:pPr>
        <w:autoSpaceDE w:val="0"/>
        <w:autoSpaceDN w:val="0"/>
        <w:adjustRightInd w:val="0"/>
        <w:spacing w:before="29" w:line="288" w:lineRule="auto"/>
        <w:ind w:left="15"/>
        <w:jc w:val="left"/>
        <w:rPr>
          <w:color w:val="000000"/>
          <w:sz w:val="24"/>
        </w:rPr>
      </w:pPr>
    </w:p>
    <w:p w:rsidP="00DB2E09" w:rsidR="006A77B5" w:rsidRDefault="00ED6B0D" w:rsidRPr="00DB2E09">
      <w:pPr>
        <w:autoSpaceDE w:val="0"/>
        <w:autoSpaceDN w:val="0"/>
        <w:adjustRightInd w:val="0"/>
        <w:spacing w:before="29" w:line="288" w:lineRule="auto"/>
        <w:jc w:val="left"/>
        <w:rPr>
          <w:b/>
          <w:color w:val="000000"/>
          <w:kern w:val="0"/>
          <w:sz w:val="24"/>
        </w:rPr>
      </w:pPr>
      <w:r w:rsidRPr="008640AE">
        <w:rPr>
          <w:color w:val="000000"/>
          <w:kern w:val="0"/>
          <w:sz w:val="24"/>
        </w:rPr>
        <w:t/>
      </w:r>
      <w:smartTag w:element="chsdate" w:uri="urn:schemas-microsoft-com:office:smarttags">
        <w:smartTagPr>
          <w:attr w:name="Year" w:val="1899"/>
          <w:attr w:name="Month" w:val="12"/>
          <w:attr w:name="Day" w:val="30"/>
          <w:attr w:name="IsLunarDate" w:val="False"/>
          <w:attr w:name="IsROCDate" w:val="False"/>
        </w:smartTagPr>
        <w:r w:rsidR="006A77B5" w:rsidRPr="00DB2E09">
          <w:rPr>
            <w:rFonts w:hint="eastAsia"/>
            <w:b/>
            <w:color w:val="000000"/>
            <w:kern w:val="0"/>
            <w:sz w:val="24"/>
          </w:rPr>
          <w:t>5.4.2</w:t>
        </w:r>
        <w:r w:rsidR="0043363E">
          <w:rPr>
            <w:rFonts w:hint="eastAsia"/>
            <w:b/>
            <w:color w:val="000000"/>
            <w:kern w:val="0"/>
            <w:sz w:val="24"/>
          </w:rPr>
          <w:t>报告</w:t>
        </w:r>
      </w:smartTag>
      <w:r w:rsidR="006A77B5" w:rsidRPr="00DB2E09">
        <w:rPr>
          <w:rFonts w:hint="eastAsia"/>
          <w:b/>
          <w:color w:val="000000"/>
          <w:kern w:val="0"/>
          <w:sz w:val="24"/>
        </w:rPr>
        <w:t>期末积极投资按公允价值占基金资产净值比例大小排序的前五名股票及存托凭证投资明细</w:t>
      </w:r>
    </w:p>
    <w:p w:rsidP="00DB2E09" w:rsidR="006A77B5" w:rsidRDefault="006A77B5" w:rsidRPr="00DB2E09">
      <w:pPr>
        <w:autoSpaceDE w:val="0"/>
        <w:autoSpaceDN w:val="0"/>
        <w:adjustRightInd w:val="0"/>
        <w:spacing w:before="29" w:line="288" w:lineRule="auto"/>
        <w:jc w:val="left"/>
        <w:rPr>
          <w:color w:val="000000"/>
          <w:sz w:val="24"/>
        </w:rPr>
      </w:pPr>
      <w:r w:rsidRPr="00DB2E09">
        <w:rPr>
          <w:rFonts w:hint="eastAsia"/>
          <w:color w:val="000000"/>
          <w:sz w:val="24"/>
        </w:rPr>
        <w:t/>
      </w:r>
      <w:r w:rsidRPr="00DB2E09">
        <w:rPr>
          <w:color w:val="000000"/>
          <w:sz w:val="24"/>
        </w:rPr>
        <w:t/>
      </w:r>
      <w:r w:rsidRPr="00DB2E09">
        <w:rPr>
          <w:rFonts w:hint="eastAsia"/>
          <w:color w:val="000000"/>
          <w:sz w:val="24"/>
        </w:rPr>
        <w:t>本基金本报告期末未持有积极投资股票及存托凭证。</w:t>
      </w:r>
    </w:p>
    <w:p w:rsidP="005546C0" w:rsidR="006A77B5" w:rsidRDefault="006A77B5" w:rsidRPr="006A77B5">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报告期内本基金投资的前十名证券的发行主体除百度（证券代码：BIDU）外，未出现被监管部门立案调查，或在报告编制日前一年内受到公开谴责、处罚的情形。</w:t>
      </w:r>
    </w:p>
    <w:p>
      <w:pPr>
        <w:spacing w:before="29" w:line="288" w:lineRule="auto"/>
        <w:rPr>
          <w:color w:val="000000"/>
          <w:sz w:val="24"/>
        </w:rPr>
      </w:pPr>
      <w:r>
        <w:rPr>
          <w:color w:val="000000"/>
          <w:sz w:val="24"/>
        </w:rPr>
        <w:t>报告期内本基金投资的前十名证券之一百度（证券代码：BIDU）下属的北京百度网讯科技有限公司发布违法广告，北京市工商行政管理局海淀分局根据京工商海处字〔2018〕第2286号行政处罚决定书，2018年11月20日对北京百度网讯科技有限公司处以没收广告费用26220.46元，罚款60万元的处罚。</w:t>
      </w:r>
    </w:p>
    <w:p>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5.10.3</w:t>
        </w:r>
      </w:smartTag>
      <w:r w:rsidRPr="00CA431C">
        <w:rPr>
          <w:b/>
          <w:color w:val="000000"/>
          <w:kern w:val="0"/>
          <w:sz w:val="24"/>
        </w:rPr>
        <w:t>其他资产构成</w:t>
      </w:r>
    </w:p>
    <w:p w:rsidP="00552C71" w:rsidR="00552C71" w:rsidRDefault="00552C71" w:rsidRPr="008640AE">
      <w:pPr>
        <w:autoSpaceDE w:val="0"/>
        <w:autoSpaceDN w:val="0"/>
        <w:adjustRightInd w:val="0"/>
        <w:spacing w:before="29" w:line="288" w:lineRule="auto"/>
        <w:jc w:val="right"/>
        <w:rPr>
          <w:color w:val="000000"/>
          <w:kern w:val="0"/>
          <w:sz w:val="24"/>
        </w:rPr>
      </w:pPr>
      <w:r w:rsidRPr="00552C71">
        <w:rPr>
          <w:rFonts w:hint="eastAsia"/>
          <w:color w:val="000000"/>
          <w:kern w:val="0"/>
          <w:sz w:val="24"/>
        </w:rPr>
        <w:t/>
      </w:r>
      <w:r w:rsidRPr="00552C71">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13,361,308.45</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38,299.20</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6,500.06</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5,969,205.75</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19,375,313.46</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5.10.5</w:t>
        </w:r>
      </w:smartTag>
      <w:r w:rsidRPr="00CA431C">
        <w:rPr>
          <w:b/>
          <w:color w:val="000000"/>
          <w:kern w:val="0"/>
          <w:sz w:val="24"/>
        </w:rPr>
        <w:t>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P="004C1FC8" w:rsidR="006A77B5" w:rsidRDefault="006A77B5" w:rsidRPr="004C1FC8">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期末指数投资前十名股票中存在流通受限情况的说明</w:t>
      </w:r>
    </w:p>
    <w:p w:rsidP="001C4C02" w:rsidR="006A77B5" w:rsidRDefault="006A77B5" w:rsidRPr="001C4C02">
      <w:pPr>
        <w:autoSpaceDE w:val="0"/>
        <w:autoSpaceDN w:val="0"/>
        <w:adjustRightInd w:val="0"/>
        <w:spacing w:before="29" w:line="288" w:lineRule="auto"/>
        <w:jc w:val="left"/>
        <w:rPr>
          <w:color w:val="000000"/>
          <w:sz w:val="24"/>
        </w:rPr>
      </w:pPr>
      <w:r w:rsidRPr="001C4C02">
        <w:rPr>
          <w:rFonts w:hint="eastAsia"/>
          <w:color w:val="000000"/>
          <w:sz w:val="24"/>
        </w:rPr>
        <w:t/>
      </w:r>
      <w:r w:rsidRPr="001C4C02">
        <w:rPr>
          <w:color w:val="000000"/>
          <w:sz w:val="24"/>
        </w:rPr>
        <w:t>本基金本报告期末前十名股票中不存在流通受限的情况。</w:t>
      </w:r>
    </w:p>
    <w:p w:rsidP="005546C0" w:rsidR="006A77B5" w:rsidRDefault="006A77B5">
      <w:pPr>
        <w:autoSpaceDE w:val="0"/>
        <w:autoSpaceDN w:val="0"/>
        <w:adjustRightInd w:val="0"/>
        <w:spacing w:before="29" w:line="288" w:lineRule="auto"/>
        <w:jc w:val="left"/>
        <w:rPr>
          <w:color w:val="000000"/>
          <w:kern w:val="0"/>
          <w:sz w:val="24"/>
        </w:rPr>
      </w:pPr>
    </w:p>
    <w:p w:rsidP="004C1FC8" w:rsidR="006A77B5" w:rsidRDefault="00C9169D" w:rsidRPr="004C1FC8">
      <w:pPr>
        <w:autoSpaceDE w:val="0"/>
        <w:autoSpaceDN w:val="0"/>
        <w:adjustRightInd w:val="0"/>
        <w:spacing w:before="29" w:line="288" w:lineRule="auto"/>
        <w:jc w:val="left"/>
        <w:rPr>
          <w:color w:val="000000"/>
          <w:kern w:val="0"/>
          <w:sz w:val="24"/>
        </w:rPr>
      </w:pPr>
      <w:r w:rsidRPr="008640AE">
        <w:rPr>
          <w:color w:val="000000"/>
          <w:kern w:val="0"/>
          <w:sz w:val="24"/>
        </w:rPr>
        <w:t/>
      </w:r>
      <w:smartTag w:element="chsdate" w:uri="urn:schemas-microsoft-com:office:smarttags">
        <w:smartTagPr>
          <w:attr w:name="IsROCDate" w:val="False"/>
          <w:attr w:name="IsLunarDate" w:val="False"/>
          <w:attr w:name="Day" w:val="30"/>
          <w:attr w:name="Month" w:val="12"/>
          <w:attr w:name="Year" w:val="1899"/>
        </w:smartTagPr>
        <w:r w:rsidR="006A77B5" w:rsidRPr="004C1FC8">
          <w:rPr>
            <w:color w:val="000000"/>
            <w:kern w:val="0"/>
            <w:sz w:val="24"/>
          </w:rPr>
          <w:t>5.</w:t>
        </w:r>
        <w:r w:rsidR="006A77B5" w:rsidRPr="004C1FC8">
          <w:rPr>
            <w:rFonts w:hint="eastAsia"/>
            <w:color w:val="000000"/>
            <w:kern w:val="0"/>
            <w:sz w:val="24"/>
          </w:rPr>
          <w:t>10</w:t>
        </w:r>
        <w:r w:rsidR="006A77B5" w:rsidRPr="004C1FC8">
          <w:rPr>
            <w:color w:val="000000"/>
            <w:kern w:val="0"/>
            <w:sz w:val="24"/>
          </w:rPr>
          <w:t>.5</w:t>
        </w:r>
      </w:smartTag>
      <w:r w:rsidR="006A77B5" w:rsidRPr="004C1FC8">
        <w:rPr>
          <w:color w:val="000000"/>
          <w:kern w:val="0"/>
          <w:sz w:val="24"/>
        </w:rPr>
        <w:t>.</w:t>
      </w:r>
      <w:r w:rsidR="006A77B5" w:rsidRPr="004C1FC8">
        <w:rPr>
          <w:rFonts w:hint="eastAsia"/>
          <w:color w:val="000000"/>
          <w:kern w:val="0"/>
          <w:sz w:val="24"/>
        </w:rPr>
        <w:t>2</w:t>
      </w:r>
      <w:r w:rsidR="006A77B5" w:rsidRPr="00CA431C">
        <w:rPr>
          <w:b/>
          <w:color w:val="000000"/>
          <w:kern w:val="0"/>
          <w:sz w:val="24"/>
        </w:rPr>
        <w:t>期末</w:t>
      </w:r>
      <w:r w:rsidR="006A77B5" w:rsidRPr="00CA431C">
        <w:rPr>
          <w:rFonts w:hint="eastAsia"/>
          <w:b/>
          <w:color w:val="000000"/>
          <w:kern w:val="0"/>
          <w:sz w:val="24"/>
        </w:rPr>
        <w:t>积极投资</w:t>
      </w:r>
      <w:r w:rsidR="006A77B5" w:rsidRPr="00CA431C">
        <w:rPr>
          <w:b/>
          <w:color w:val="000000"/>
          <w:kern w:val="0"/>
          <w:sz w:val="24"/>
        </w:rPr>
        <w:t>前五名股票中存在流通受限情况的说明</w:t>
      </w:r>
    </w:p>
    <w:p w:rsidP="001C4C02" w:rsidR="006A77B5" w:rsidRDefault="006A77B5">
      <w:pPr>
        <w:autoSpaceDE w:val="0"/>
        <w:autoSpaceDN w:val="0"/>
        <w:adjustRightInd w:val="0"/>
        <w:spacing w:before="29" w:line="288" w:lineRule="auto"/>
        <w:jc w:val="left"/>
        <w:rPr>
          <w:color w:val="000000"/>
          <w:sz w:val="24"/>
        </w:rPr>
      </w:pPr>
      <w:r w:rsidRPr="001C4C02">
        <w:rPr>
          <w:rFonts w:hint="eastAsia"/>
          <w:color w:val="000000"/>
          <w:sz w:val="24"/>
        </w:rPr>
        <w:t/>
      </w:r>
      <w:r w:rsidRPr="001C4C02">
        <w:rPr>
          <w:color w:val="000000"/>
          <w:sz w:val="24"/>
        </w:rPr>
        <w:t>本基金本报告期末未持有积极投资的股票。</w:t>
      </w:r>
    </w:p>
    <w:p w:rsidP="001C4C02" w:rsidR="009F321E" w:rsidRDefault="009F321E" w:rsidRPr="00820253">
      <w:pPr>
        <w:autoSpaceDE w:val="0"/>
        <w:autoSpaceDN w:val="0"/>
        <w:adjustRightInd w:val="0"/>
        <w:spacing w:before="29" w:line="288" w:lineRule="auto"/>
        <w:jc w:val="left"/>
        <w:rPr>
          <w:rFonts w:asciiTheme="minorEastAsia" w:eastAsiaTheme="minorEastAsia" w:hAnsiTheme="minorEastAsia"/>
          <w:color w:val="000000"/>
          <w:sz w:val="24"/>
        </w:rPr>
      </w:pPr>
    </w:p>
    <w:p w:rsidP="005546C0" w:rsidR="0076518F" w:rsidRDefault="00280566" w:rsidRPr="00D77D2B">
      <w:pPr>
        <w:autoSpaceDE w:val="0"/>
        <w:autoSpaceDN w:val="0"/>
        <w:adjustRightInd w:val="0"/>
        <w:spacing w:before="29" w:line="288" w:lineRule="auto"/>
        <w:jc w:val="left"/>
        <w:rPr>
          <w:b/>
          <w:color w:val="000000"/>
          <w:kern w:val="0"/>
          <w:sz w:val="24"/>
        </w:rPr>
      </w:pPr>
      <w:bookmarkStart w:id="2" w:name="_GoBack"/>
      <w:r w:rsidRPr="00D77D2B">
        <w:rPr>
          <w:b/>
          <w:color w:val="000000"/>
          <w:kern w:val="0"/>
          <w:sz w:val="24"/>
        </w:rPr>
        <w:t/>
      </w:r>
      <w:r w:rsidR="0076518F" w:rsidRPr="00D77D2B">
        <w:rPr>
          <w:b/>
          <w:color w:val="000000"/>
          <w:kern w:val="0"/>
          <w:sz w:val="24"/>
        </w:rPr>
        <w:t>5.10.6</w:t>
      </w:r>
      <w:r w:rsidR="001C46E1" w:rsidRPr="00D77D2B">
        <w:rPr>
          <w:b/>
          <w:color w:val="000000"/>
          <w:kern w:val="0"/>
          <w:sz w:val="24"/>
        </w:rPr>
        <w:t>投资组合报告附注的其他文字描述部分</w:t>
      </w:r>
    </w:p>
    <w:bookmarkEnd w:id="2"/>
    <w:p w:rsidP="00A31920" w:rsidR="000A55BD" w:rsidRDefault="000A55BD" w:rsidRPr="008640AE">
      <w:pPr>
        <w:spacing w:before="29" w:line="288" w:lineRule="auto"/>
        <w:rPr>
          <w:color w:val="000000"/>
          <w:sz w:val="24"/>
        </w:rPr>
      </w:pPr>
      <w:r w:rsidRPr="008640AE">
        <w:rPr>
          <w:color w:val="000000"/>
          <w:sz w:val="24"/>
        </w:rPr>
        <w:lastRenderedPageBreak/>
        <w:t>由于四舍五入的原因，分项之和与合计项之间可能存在尾差。</w:t>
      </w:r>
    </w:p>
    <w:p w:rsidP="005546C0" w:rsidR="00997813" w:rsidRDefault="00997813" w:rsidRPr="008640AE">
      <w:pPr>
        <w:spacing w:before="29" w:line="288" w:lineRule="auto"/>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firstColumn="0" w:firstRow="0" w:lastColumn="0" w:lastRow="0" w:noHBand="0" w:noVBand="0"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997,564,755.51</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272,699,062.52</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233,030,409.43</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1,037,233,408.60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DB376A" w:rsidR="005E64DA" w:rsidRDefault="005E64DA"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lastRenderedPageBreak/>
        <w:t>本基金管理人本报告期内未进行本基金的申购、赎回、红利再投等；本基金管理人本报告期末持有本基金份额0.00份，占本基金期末总份额的0.00%。</w:t>
      </w:r>
    </w:p>
    <w:p w:rsidP="005546C0" w:rsidR="00200B62" w:rsidRDefault="00200B62" w:rsidRPr="008640AE">
      <w:pPr>
        <w:autoSpaceDE w:val="0"/>
        <w:autoSpaceDN w:val="0"/>
        <w:adjustRightInd w:val="0"/>
        <w:spacing w:before="29" w:line="288" w:lineRule="auto"/>
        <w:jc w:val="left"/>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8</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1、中国证监会准予交银施罗德中证海外中国互联网指数型证券投资基金(LOF)募集注册的文件； </w:t>
      </w:r>
    </w:p>
    <w:p>
      <w:pPr>
        <w:spacing w:before="29" w:line="288" w:lineRule="auto"/>
        <w:ind w:firstLine="480" w:firstLineChars="200"/>
        <w:rPr>
          <w:color w:val="000000"/>
          <w:sz w:val="24"/>
        </w:rPr>
      </w:pPr>
      <w:r>
        <w:rPr>
          <w:color w:val="000000"/>
          <w:sz w:val="24"/>
        </w:rPr>
        <w:t>2、《交银施罗德中证海外中国互联网指数型证券投资基金(LOF)基金合同》；</w:t>
      </w:r>
    </w:p>
    <w:p>
      <w:pPr>
        <w:spacing w:before="29" w:line="288" w:lineRule="auto"/>
        <w:ind w:firstLine="480" w:firstLineChars="200"/>
        <w:rPr>
          <w:color w:val="000000"/>
          <w:sz w:val="24"/>
        </w:rPr>
      </w:pPr>
      <w:r>
        <w:rPr>
          <w:color w:val="000000"/>
          <w:sz w:val="24"/>
        </w:rPr>
        <w:t xml:space="preserve">3、《交银施罗德中证海外中国互联网指数型证券投资基金(LOF)招募说明书》； </w:t>
      </w:r>
    </w:p>
    <w:p>
      <w:pPr>
        <w:spacing w:before="29" w:line="288" w:lineRule="auto"/>
        <w:ind w:firstLine="480" w:firstLineChars="200"/>
        <w:rPr>
          <w:color w:val="000000"/>
          <w:sz w:val="24"/>
        </w:rPr>
      </w:pPr>
      <w:r>
        <w:rPr>
          <w:color w:val="000000"/>
          <w:sz w:val="24"/>
        </w:rPr>
        <w:t xml:space="preserve">4、《交银施罗德中证海外中国互联网指数型证券投资基金(LOF)托管协议》； </w:t>
      </w:r>
    </w:p>
    <w:p>
      <w:pPr>
        <w:spacing w:before="29" w:line="288" w:lineRule="auto"/>
        <w:ind w:firstLine="480" w:firstLineChars="200"/>
        <w:rPr>
          <w:color w:val="000000"/>
          <w:sz w:val="24"/>
        </w:rPr>
      </w:pPr>
      <w:r>
        <w:rPr>
          <w:color w:val="000000"/>
          <w:sz w:val="24"/>
        </w:rPr>
        <w:t>5、基金管理人业务资格批件、营业执照；</w:t>
      </w:r>
    </w:p>
    <w:p>
      <w:pPr>
        <w:spacing w:before="29" w:line="288" w:lineRule="auto"/>
        <w:ind w:firstLine="480" w:firstLineChars="200"/>
        <w:rPr>
          <w:color w:val="000000"/>
          <w:sz w:val="24"/>
        </w:rPr>
      </w:pPr>
      <w:r>
        <w:rPr>
          <w:color w:val="000000"/>
          <w:sz w:val="24"/>
        </w:rPr>
        <w:t>6、基金托管人业务资格批件、营业执照；</w:t>
      </w:r>
    </w:p>
    <w:p>
      <w:pPr>
        <w:spacing w:before="29" w:line="288" w:lineRule="auto"/>
        <w:ind w:firstLine="480" w:firstLineChars="200"/>
        <w:rPr>
          <w:color w:val="000000"/>
          <w:sz w:val="24"/>
        </w:rPr>
      </w:pPr>
      <w:r>
        <w:rPr>
          <w:color w:val="000000"/>
          <w:sz w:val="24"/>
        </w:rPr>
        <w:t>7、关于申请募集注册交银施罗德中证海外中国互联网指数型证券投资基金(LOF)的法律意见书；</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8、报告期内交银施罗德中证海外中国互联网指数型证券投资基金(LOF)在指定报刊上各项公告的原稿。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B1" w:rsidRDefault="00A872B1">
      <w:r>
        <w:separator/>
      </w:r>
    </w:p>
  </w:endnote>
  <w:endnote w:type="continuationSeparator" w:id="0">
    <w:p w:rsidR="00A872B1" w:rsidRDefault="00A8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B918B8" w:rsidR="004C1FC8" w:rsidRDefault="004C1FC8" w:rsidRPr="001D0DB0">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D77D2B">
      <w:rPr>
        <w:noProof/>
        <w:kern w:val="0"/>
        <w:szCs w:val="21"/>
      </w:rPr>
      <w:t>14</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D77D2B">
      <w:rPr>
        <w:noProof/>
        <w:kern w:val="0"/>
        <w:szCs w:val="21"/>
      </w:rPr>
      <w:t>20</w:t>
    </w:r>
    <w:r w:rsidR="008060F5">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8060F5">
    <w:pPr>
      <w:pStyle w:val="a6"/>
      <w:framePr w:hAnchor="margin" w:vAnchor="text" w:wrap="around"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4C1FC8">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A872B1" w:rsidRDefault="00A872B1">
      <w:r>
        <w:separator/>
      </w:r>
    </w:p>
  </w:footnote>
  <w:footnote w:id="0" w:type="continuationSeparator">
    <w:p w:rsidR="00A872B1" w:rsidRDefault="00A872B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078BA" w:rsidR="004C1FC8" w:rsidRDefault="00F078BA" w:rsidRPr="00F078BA">
    <w:pPr>
      <w:pStyle w:val="a9"/>
      <w:pBdr>
        <w:bottom w:color="auto" w:space="0" w:sz="6" w:val="single"/>
      </w:pBdr>
      <w:ind w:firstLine="480"/>
      <w:jc w:val="right"/>
      <w:rPr>
        <w:sz w:val="24"/>
        <w:szCs w:val="24"/>
      </w:rPr>
    </w:pPr>
    <w:r w:rsidRPr="003E676C">
      <w:rPr>
        <w:sz w:val="24"/>
        <w:szCs w:val="24"/>
      </w:rPr>
      <w:t>交银施罗德中证海外中国互联网指数型证券投资基金(LOF)2019年第3季度报告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9"/>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4C1FC8">
    <w:pPr>
      <w:pStyle w:val="a9"/>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4C1FC8">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45C8"/>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D4F"/>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7F7FBA"/>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72B1"/>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77D2B"/>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592596E-30D3-49A7-B49A-FFE6949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132</TotalTime>
  <Pages>20</Pages>
  <Words>3383</Words>
  <Characters>19289</Characters>
  <Application>Microsoft Office Word</Application>
  <DocSecurity>0</DocSecurity>
  <Lines>160</Lines>
  <Paragraphs>45</Paragraphs>
  <ScaleCrop>false</ScaleCrop>
  <Company>TRT. Ltd. Co.</Company>
  <LinksUpToDate>false</LinksUpToDate>
  <CharactersWithSpaces>22627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业务系统</cp:lastModifiedBy>
  <cp:lastPrinted>2007-07-19T00:46:00Z</cp:lastPrinted>
  <dcterms:modified xsi:type="dcterms:W3CDTF">2019-08-22T08:32:00Z</dcterms:modified>
  <cp:revision>312</cp:revision>
</cp:coreProperties>
</file>