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交银施罗德先锋混合型证券投资基金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2019年第3季度报告</w:t>
      </w:r>
    </w:p>
    <w:p w:rsidP="00C15CAC" w:rsidR="004061AC" w:rsidRDefault="00655CD8" w:rsidRPr="0081286B">
      <w:pPr>
        <w:spacing w:before="29" w:line="288" w:lineRule="auto"/>
        <w:jc w:val="center"/>
        <w:rPr>
          <w:b/>
          <w:sz w:val="36"/>
          <w:szCs w:val="36"/>
        </w:rPr>
      </w:pPr>
      <w:r w:rsidRPr="0081286B">
        <w:rPr>
          <w:b/>
          <w:sz w:val="36"/>
          <w:szCs w:val="36"/>
        </w:rPr>
        <w:t>2019年9月30日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二〇一九年十月二十二日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交银先锋混合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519698</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519698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519699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2009年4月10日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633,244,299.80</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75%×中证700指数+25%×中证综合债券指数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(2019年7月1日-2019年9月30日)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64,392,214.87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78,787,296.26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0.0996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884,404,804.56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1.3966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   </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7.22%</w:t>
            </w:r>
          </w:p>
        </w:tc>
        <w:tc>
          <w:tcPr>
            <w:vAlign w:val="center"/>
          </w:tcPr>
          <w:p>
            <w:pPr>
              <w:jc w:val="center"/>
            </w:pPr>
            <w:r>
              <w:rPr>
                <w:color w:val="000000"/>
                <w:sz w:val="24"/>
                <w:szCs w:val="24"/>
              </w:rPr>
              <w:t>1.40%</w:t>
            </w:r>
          </w:p>
        </w:tc>
        <w:tc>
          <w:tcPr>
            <w:vAlign w:val="center"/>
          </w:tcPr>
          <w:p>
            <w:pPr>
              <w:jc w:val="center"/>
            </w:pPr>
            <w:r>
              <w:rPr>
                <w:color w:val="000000"/>
                <w:sz w:val="24"/>
                <w:szCs w:val="24"/>
              </w:rPr>
              <w:t>0.64%</w:t>
            </w:r>
          </w:p>
        </w:tc>
        <w:tc>
          <w:tcPr>
            <w:vAlign w:val="center"/>
          </w:tcPr>
          <w:p>
            <w:pPr>
              <w:jc w:val="center"/>
            </w:pPr>
            <w:r>
              <w:rPr>
                <w:color w:val="000000"/>
                <w:sz w:val="24"/>
                <w:szCs w:val="24"/>
              </w:rPr>
              <w:t>0.86%</w:t>
            </w:r>
          </w:p>
        </w:tc>
        <w:tc>
          <w:tcPr>
            <w:vAlign w:val="center"/>
          </w:tcPr>
          <w:p>
            <w:pPr>
              <w:jc w:val="center"/>
            </w:pPr>
            <w:r>
              <w:rPr>
                <w:color w:val="000000"/>
                <w:sz w:val="24"/>
                <w:szCs w:val="24"/>
              </w:rPr>
              <w:t>6.58%</w:t>
            </w:r>
          </w:p>
        </w:tc>
        <w:tc>
          <w:tcPr>
            <w:vAlign w:val="center"/>
          </w:tcPr>
          <w:p>
            <w:pPr>
              <w:jc w:val="center"/>
            </w:pPr>
            <w:r>
              <w:rPr>
                <w:color w:val="000000"/>
                <w:sz w:val="24"/>
                <w:szCs w:val="24"/>
              </w:rPr>
              <w:t>0.54%</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中证700指数+25%×中信全债指数”变更为“75%×中证700指数+25%×中证综合债券指数”，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交银施罗德先锋混合型证券投资基金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2009年4月10日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芮晨</w:t>
            </w:r>
          </w:p>
        </w:tc>
        <w:tc>
          <w:tcPr>
            <w:vAlign w:val="center"/>
          </w:tcPr>
          <w:p>
            <w:pPr>
              <w:jc w:val="center"/>
            </w:pPr>
            <w:r>
              <w:rPr>
                <w:color w:val="000000"/>
                <w:sz w:val="24"/>
                <w:szCs w:val="24"/>
              </w:rPr>
              <w:t>交银先锋混合、交银科技创新灵活配置混合的基金经理</w:t>
            </w:r>
          </w:p>
        </w:tc>
        <w:tc>
          <w:tcPr>
            <w:vAlign w:val="center"/>
          </w:tcPr>
          <w:p>
            <w:pPr>
              <w:jc w:val="center"/>
            </w:pPr>
            <w:r>
              <w:rPr>
                <w:color w:val="000000"/>
                <w:sz w:val="24"/>
                <w:szCs w:val="24"/>
              </w:rPr>
              <w:t>2015-05-18</w:t>
            </w:r>
          </w:p>
        </w:tc>
        <w:tc>
          <w:tcPr>
            <w:vAlign w:val="center"/>
          </w:tcPr>
          <w:p>
            <w:pPr>
              <w:jc w:val="center"/>
            </w:pPr>
            <w:r>
              <w:rPr>
                <w:color w:val="000000"/>
                <w:sz w:val="24"/>
                <w:szCs w:val="24"/>
              </w:rPr>
              <w:t>-</w:t>
            </w:r>
          </w:p>
        </w:tc>
        <w:tc>
          <w:tcPr>
            <w:vAlign w:val="center"/>
          </w:tcPr>
          <w:p>
            <w:pPr>
              <w:jc w:val="center"/>
            </w:pPr>
            <w:r>
              <w:rPr>
                <w:color w:val="000000"/>
                <w:sz w:val="24"/>
                <w:szCs w:val="24"/>
              </w:rPr>
              <w:t>12年</w:t>
            </w:r>
          </w:p>
        </w:tc>
        <w:tc>
          <w:tcPr>
            <w:vAlign w:val="center"/>
          </w:tcPr>
          <w:p>
            <w:pPr>
              <w:jc w:val="both"/>
            </w:pPr>
            <w:r>
              <w:rPr>
                <w:color w:val="000000"/>
                <w:sz w:val="24"/>
                <w:szCs w:val="24"/>
              </w:rPr>
              <w:t>芮晨先生，内蒙古科技大学工学士。历任深圳尚诚资产管理有限公司研究员、研究副总监，国联安基金管理有限公司行业研究员、投资经理，浙商证券资产管理有限公司投资主办。2015年加入交银施罗德基金管理有限公司。2016年8月16日至2019年5月29日担任交银施罗德数据产业灵活配置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 xml:space="preserve">2019三季度，正如我们在二季度的判断，流动性宽松继续，贸易战的影响边际弱化，成长类机会突显，尤其是电子行业，业绩持续超预期。 </w:t>
      </w:r>
    </w:p>
    <w:p>
      <w:pPr>
        <w:spacing w:before="29" w:line="288" w:lineRule="auto"/>
        <w:ind w:firstLine="480" w:firstLineChars="200"/>
        <w:rPr>
          <w:color w:val="000000"/>
          <w:sz w:val="24"/>
          <w:szCs w:val="24"/>
        </w:rPr>
      </w:pPr>
      <w:r>
        <w:rPr>
          <w:color w:val="000000"/>
          <w:sz w:val="24"/>
          <w:szCs w:val="24"/>
        </w:rPr>
        <w:t>本组合三季度持仓变化不大，仍然主要持有业绩持续有增长的成长类股票。</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展望2019年四季度，我们仍然认为成长股的机会较大，结构上按照产业发展先硬件后应用的顺序，我们认为四季度软件应用行业的机会更大。</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815,100,262.79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91.63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815,100,262.79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91.63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56,988,300.00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6.41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56,988,300.00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6.41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13,911,885.40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1.56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3,573,087.66</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0.40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889,573,535.85</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379,001,045.29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42.85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40,964,480.60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4.63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374,899,081.90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42.39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9,335,805.00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10,899,850.00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815,100,262.79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92.16</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300365</w:t>
            </w:r>
          </w:p>
        </w:tc>
        <w:tc>
          <w:tcPr>
            <w:vAlign w:val="center"/>
          </w:tcPr>
          <w:p>
            <w:pPr>
              <w:jc w:val="center"/>
            </w:pPr>
            <w:r>
              <w:rPr>
                <w:color w:val="000000"/>
                <w:sz w:val="24"/>
                <w:szCs w:val="24"/>
              </w:rPr>
              <w:t>恒华科技</w:t>
            </w:r>
          </w:p>
        </w:tc>
        <w:tc>
          <w:tcPr>
            <w:vAlign w:val="center"/>
          </w:tcPr>
          <w:p>
            <w:pPr>
              <w:jc w:val="right"/>
            </w:pPr>
            <w:r>
              <w:rPr>
                <w:color w:val="000000"/>
                <w:sz w:val="24"/>
                <w:szCs w:val="24"/>
              </w:rPr>
              <w:t>6,164,450</w:t>
            </w:r>
          </w:p>
        </w:tc>
        <w:tc>
          <w:tcPr>
            <w:vAlign w:val="center"/>
          </w:tcPr>
          <w:p>
            <w:pPr>
              <w:jc w:val="right"/>
            </w:pPr>
            <w:r>
              <w:rPr>
                <w:color w:val="000000"/>
                <w:sz w:val="24"/>
                <w:szCs w:val="24"/>
              </w:rPr>
              <w:t>92,713,328.00</w:t>
            </w:r>
          </w:p>
        </w:tc>
        <w:tc>
          <w:tcPr>
            <w:vAlign w:val="center"/>
          </w:tcPr>
          <w:p>
            <w:pPr>
              <w:jc w:val="right"/>
            </w:pPr>
            <w:r>
              <w:rPr>
                <w:color w:val="000000"/>
                <w:sz w:val="24"/>
                <w:szCs w:val="24"/>
              </w:rPr>
              <w:t>10.48</w:t>
            </w:r>
          </w:p>
        </w:tc>
      </w:tr>
      <w:tr>
        <w:tc>
          <w:tcPr>
            <w:vAlign w:val="center"/>
          </w:tcPr>
          <w:p>
            <w:pPr>
              <w:jc w:val="center"/>
            </w:pPr>
            <w:r>
              <w:rPr>
                <w:color w:val="000000"/>
                <w:sz w:val="24"/>
                <w:szCs w:val="24"/>
              </w:rPr>
              <w:t>2</w:t>
            </w:r>
          </w:p>
        </w:tc>
        <w:tc>
          <w:tcPr>
            <w:vAlign w:val="center"/>
          </w:tcPr>
          <w:p>
            <w:pPr>
              <w:jc w:val="center"/>
            </w:pPr>
            <w:r>
              <w:rPr>
                <w:color w:val="000000"/>
                <w:sz w:val="24"/>
                <w:szCs w:val="24"/>
              </w:rPr>
              <w:t>300395</w:t>
            </w:r>
          </w:p>
        </w:tc>
        <w:tc>
          <w:tcPr>
            <w:vAlign w:val="center"/>
          </w:tcPr>
          <w:p>
            <w:pPr>
              <w:jc w:val="center"/>
            </w:pPr>
            <w:r>
              <w:rPr>
                <w:color w:val="000000"/>
                <w:sz w:val="24"/>
                <w:szCs w:val="24"/>
              </w:rPr>
              <w:t>菲利华</w:t>
            </w:r>
          </w:p>
        </w:tc>
        <w:tc>
          <w:tcPr>
            <w:vAlign w:val="center"/>
          </w:tcPr>
          <w:p>
            <w:pPr>
              <w:jc w:val="right"/>
            </w:pPr>
            <w:r>
              <w:rPr>
                <w:color w:val="000000"/>
                <w:sz w:val="24"/>
                <w:szCs w:val="24"/>
              </w:rPr>
              <w:t>3,637,633</w:t>
            </w:r>
          </w:p>
        </w:tc>
        <w:tc>
          <w:tcPr>
            <w:vAlign w:val="center"/>
          </w:tcPr>
          <w:p>
            <w:pPr>
              <w:jc w:val="right"/>
            </w:pPr>
            <w:r>
              <w:rPr>
                <w:color w:val="000000"/>
                <w:sz w:val="24"/>
                <w:szCs w:val="24"/>
              </w:rPr>
              <w:t>80,355,312.97</w:t>
            </w:r>
          </w:p>
        </w:tc>
        <w:tc>
          <w:tcPr>
            <w:vAlign w:val="center"/>
          </w:tcPr>
          <w:p>
            <w:pPr>
              <w:jc w:val="right"/>
            </w:pPr>
            <w:r>
              <w:rPr>
                <w:color w:val="000000"/>
                <w:sz w:val="24"/>
                <w:szCs w:val="24"/>
              </w:rPr>
              <w:t>9.09</w:t>
            </w:r>
          </w:p>
        </w:tc>
      </w:tr>
      <w:tr>
        <w:tc>
          <w:tcPr>
            <w:vAlign w:val="center"/>
          </w:tcPr>
          <w:p>
            <w:pPr>
              <w:jc w:val="center"/>
            </w:pPr>
            <w:r>
              <w:rPr>
                <w:color w:val="000000"/>
                <w:sz w:val="24"/>
                <w:szCs w:val="24"/>
              </w:rPr>
              <w:t>3</w:t>
            </w:r>
          </w:p>
        </w:tc>
        <w:tc>
          <w:tcPr>
            <w:vAlign w:val="center"/>
          </w:tcPr>
          <w:p>
            <w:pPr>
              <w:jc w:val="center"/>
            </w:pPr>
            <w:r>
              <w:rPr>
                <w:color w:val="000000"/>
                <w:sz w:val="24"/>
                <w:szCs w:val="24"/>
              </w:rPr>
              <w:t>300572</w:t>
            </w:r>
          </w:p>
        </w:tc>
        <w:tc>
          <w:tcPr>
            <w:vAlign w:val="center"/>
          </w:tcPr>
          <w:p>
            <w:pPr>
              <w:jc w:val="center"/>
            </w:pPr>
            <w:r>
              <w:rPr>
                <w:color w:val="000000"/>
                <w:sz w:val="24"/>
                <w:szCs w:val="24"/>
              </w:rPr>
              <w:t>安车检测</w:t>
            </w:r>
          </w:p>
        </w:tc>
        <w:tc>
          <w:tcPr>
            <w:vAlign w:val="center"/>
          </w:tcPr>
          <w:p>
            <w:pPr>
              <w:jc w:val="right"/>
            </w:pPr>
            <w:r>
              <w:rPr>
                <w:color w:val="000000"/>
                <w:sz w:val="24"/>
                <w:szCs w:val="24"/>
              </w:rPr>
              <w:t>1,467,382</w:t>
            </w:r>
          </w:p>
        </w:tc>
        <w:tc>
          <w:tcPr>
            <w:vAlign w:val="center"/>
          </w:tcPr>
          <w:p>
            <w:pPr>
              <w:jc w:val="right"/>
            </w:pPr>
            <w:r>
              <w:rPr>
                <w:color w:val="000000"/>
                <w:sz w:val="24"/>
                <w:szCs w:val="24"/>
              </w:rPr>
              <w:t>76,597,340.40</w:t>
            </w:r>
          </w:p>
        </w:tc>
        <w:tc>
          <w:tcPr>
            <w:vAlign w:val="center"/>
          </w:tcPr>
          <w:p>
            <w:pPr>
              <w:jc w:val="right"/>
            </w:pPr>
            <w:r>
              <w:rPr>
                <w:color w:val="000000"/>
                <w:sz w:val="24"/>
                <w:szCs w:val="24"/>
              </w:rPr>
              <w:t>8.66</w:t>
            </w:r>
          </w:p>
        </w:tc>
      </w:tr>
      <w:tr>
        <w:tc>
          <w:tcPr>
            <w:vAlign w:val="center"/>
          </w:tcPr>
          <w:p>
            <w:pPr>
              <w:jc w:val="center"/>
            </w:pPr>
            <w:r>
              <w:rPr>
                <w:color w:val="000000"/>
                <w:sz w:val="24"/>
                <w:szCs w:val="24"/>
              </w:rPr>
              <w:t>4</w:t>
            </w:r>
          </w:p>
        </w:tc>
        <w:tc>
          <w:tcPr>
            <w:vAlign w:val="center"/>
          </w:tcPr>
          <w:p>
            <w:pPr>
              <w:jc w:val="center"/>
            </w:pPr>
            <w:r>
              <w:rPr>
                <w:color w:val="000000"/>
                <w:sz w:val="24"/>
                <w:szCs w:val="24"/>
              </w:rPr>
              <w:t>300253</w:t>
            </w:r>
          </w:p>
        </w:tc>
        <w:tc>
          <w:tcPr>
            <w:vAlign w:val="center"/>
          </w:tcPr>
          <w:p>
            <w:pPr>
              <w:jc w:val="center"/>
            </w:pPr>
            <w:r>
              <w:rPr>
                <w:color w:val="000000"/>
                <w:sz w:val="24"/>
                <w:szCs w:val="24"/>
              </w:rPr>
              <w:t>卫宁健康</w:t>
            </w:r>
          </w:p>
        </w:tc>
        <w:tc>
          <w:tcPr>
            <w:vAlign w:val="center"/>
          </w:tcPr>
          <w:p>
            <w:pPr>
              <w:jc w:val="right"/>
            </w:pPr>
            <w:r>
              <w:rPr>
                <w:color w:val="000000"/>
                <w:sz w:val="24"/>
                <w:szCs w:val="24"/>
              </w:rPr>
              <w:t>3,257,154</w:t>
            </w:r>
          </w:p>
        </w:tc>
        <w:tc>
          <w:tcPr>
            <w:vAlign w:val="center"/>
          </w:tcPr>
          <w:p>
            <w:pPr>
              <w:jc w:val="right"/>
            </w:pPr>
            <w:r>
              <w:rPr>
                <w:color w:val="000000"/>
                <w:sz w:val="24"/>
                <w:szCs w:val="24"/>
              </w:rPr>
              <w:t>51,723,605.52</w:t>
            </w:r>
          </w:p>
        </w:tc>
        <w:tc>
          <w:tcPr>
            <w:vAlign w:val="center"/>
          </w:tcPr>
          <w:p>
            <w:pPr>
              <w:jc w:val="right"/>
            </w:pPr>
            <w:r>
              <w:rPr>
                <w:color w:val="000000"/>
                <w:sz w:val="24"/>
                <w:szCs w:val="24"/>
              </w:rPr>
              <w:t>5.85</w:t>
            </w:r>
          </w:p>
        </w:tc>
      </w:tr>
      <w:tr>
        <w:tc>
          <w:tcPr>
            <w:vAlign w:val="center"/>
          </w:tcPr>
          <w:p>
            <w:pPr>
              <w:jc w:val="center"/>
            </w:pPr>
            <w:r>
              <w:rPr>
                <w:color w:val="000000"/>
                <w:sz w:val="24"/>
                <w:szCs w:val="24"/>
              </w:rPr>
              <w:t>5</w:t>
            </w:r>
          </w:p>
        </w:tc>
        <w:tc>
          <w:tcPr>
            <w:vAlign w:val="center"/>
          </w:tcPr>
          <w:p>
            <w:pPr>
              <w:jc w:val="center"/>
            </w:pPr>
            <w:r>
              <w:rPr>
                <w:color w:val="000000"/>
                <w:sz w:val="24"/>
                <w:szCs w:val="24"/>
              </w:rPr>
              <w:t>002268</w:t>
            </w:r>
          </w:p>
        </w:tc>
        <w:tc>
          <w:tcPr>
            <w:vAlign w:val="center"/>
          </w:tcPr>
          <w:p>
            <w:pPr>
              <w:jc w:val="center"/>
            </w:pPr>
            <w:r>
              <w:rPr>
                <w:color w:val="000000"/>
                <w:sz w:val="24"/>
                <w:szCs w:val="24"/>
              </w:rPr>
              <w:t>卫士通</w:t>
            </w:r>
          </w:p>
        </w:tc>
        <w:tc>
          <w:tcPr>
            <w:vAlign w:val="center"/>
          </w:tcPr>
          <w:p>
            <w:pPr>
              <w:jc w:val="right"/>
            </w:pPr>
            <w:r>
              <w:rPr>
                <w:color w:val="000000"/>
                <w:sz w:val="24"/>
                <w:szCs w:val="24"/>
              </w:rPr>
              <w:t>1,580,160</w:t>
            </w:r>
          </w:p>
        </w:tc>
        <w:tc>
          <w:tcPr>
            <w:vAlign w:val="center"/>
          </w:tcPr>
          <w:p>
            <w:pPr>
              <w:jc w:val="right"/>
            </w:pPr>
            <w:r>
              <w:rPr>
                <w:color w:val="000000"/>
                <w:sz w:val="24"/>
                <w:szCs w:val="24"/>
              </w:rPr>
              <w:t>44,070,662.40</w:t>
            </w:r>
          </w:p>
        </w:tc>
        <w:tc>
          <w:tcPr>
            <w:vAlign w:val="center"/>
          </w:tcPr>
          <w:p>
            <w:pPr>
              <w:jc w:val="right"/>
            </w:pPr>
            <w:r>
              <w:rPr>
                <w:color w:val="000000"/>
                <w:sz w:val="24"/>
                <w:szCs w:val="24"/>
              </w:rPr>
              <w:t>4.98</w:t>
            </w:r>
          </w:p>
        </w:tc>
      </w:tr>
      <w:tr>
        <w:tc>
          <w:tcPr>
            <w:vAlign w:val="center"/>
          </w:tcPr>
          <w:p>
            <w:pPr>
              <w:jc w:val="center"/>
            </w:pPr>
            <w:r>
              <w:rPr>
                <w:color w:val="000000"/>
                <w:sz w:val="24"/>
                <w:szCs w:val="24"/>
              </w:rPr>
              <w:t>6</w:t>
            </w:r>
          </w:p>
        </w:tc>
        <w:tc>
          <w:tcPr>
            <w:vAlign w:val="center"/>
          </w:tcPr>
          <w:p>
            <w:pPr>
              <w:jc w:val="center"/>
            </w:pPr>
            <w:r>
              <w:rPr>
                <w:color w:val="000000"/>
                <w:sz w:val="24"/>
                <w:szCs w:val="24"/>
              </w:rPr>
              <w:t>600131</w:t>
            </w:r>
          </w:p>
        </w:tc>
        <w:tc>
          <w:tcPr>
            <w:vAlign w:val="center"/>
          </w:tcPr>
          <w:p>
            <w:pPr>
              <w:jc w:val="center"/>
            </w:pPr>
            <w:r>
              <w:rPr>
                <w:color w:val="000000"/>
                <w:sz w:val="24"/>
                <w:szCs w:val="24"/>
              </w:rPr>
              <w:t>岷江水电</w:t>
            </w:r>
          </w:p>
        </w:tc>
        <w:tc>
          <w:tcPr>
            <w:vAlign w:val="center"/>
          </w:tcPr>
          <w:p>
            <w:pPr>
              <w:jc w:val="right"/>
            </w:pPr>
            <w:r>
              <w:rPr>
                <w:color w:val="000000"/>
                <w:sz w:val="24"/>
                <w:szCs w:val="24"/>
              </w:rPr>
              <w:t>2,211,905</w:t>
            </w:r>
          </w:p>
        </w:tc>
        <w:tc>
          <w:tcPr>
            <w:vAlign w:val="center"/>
          </w:tcPr>
          <w:p>
            <w:pPr>
              <w:jc w:val="right"/>
            </w:pPr>
            <w:r>
              <w:rPr>
                <w:color w:val="000000"/>
                <w:sz w:val="24"/>
                <w:szCs w:val="24"/>
              </w:rPr>
              <w:t>40,964,480.60</w:t>
            </w:r>
          </w:p>
        </w:tc>
        <w:tc>
          <w:tcPr>
            <w:vAlign w:val="center"/>
          </w:tcPr>
          <w:p>
            <w:pPr>
              <w:jc w:val="right"/>
            </w:pPr>
            <w:r>
              <w:rPr>
                <w:color w:val="000000"/>
                <w:sz w:val="24"/>
                <w:szCs w:val="24"/>
              </w:rPr>
              <w:t>4.63</w:t>
            </w:r>
          </w:p>
        </w:tc>
      </w:tr>
      <w:tr>
        <w:tc>
          <w:tcPr>
            <w:vAlign w:val="center"/>
          </w:tcPr>
          <w:p>
            <w:pPr>
              <w:jc w:val="center"/>
            </w:pPr>
            <w:r>
              <w:rPr>
                <w:color w:val="000000"/>
                <w:sz w:val="24"/>
                <w:szCs w:val="24"/>
              </w:rPr>
              <w:t>7</w:t>
            </w:r>
          </w:p>
        </w:tc>
        <w:tc>
          <w:tcPr>
            <w:vAlign w:val="center"/>
          </w:tcPr>
          <w:p>
            <w:pPr>
              <w:jc w:val="center"/>
            </w:pPr>
            <w:r>
              <w:rPr>
                <w:color w:val="000000"/>
                <w:sz w:val="24"/>
                <w:szCs w:val="24"/>
              </w:rPr>
              <w:t>300226</w:t>
            </w:r>
          </w:p>
        </w:tc>
        <w:tc>
          <w:tcPr>
            <w:vAlign w:val="center"/>
          </w:tcPr>
          <w:p>
            <w:pPr>
              <w:jc w:val="center"/>
            </w:pPr>
            <w:r>
              <w:rPr>
                <w:color w:val="000000"/>
                <w:sz w:val="24"/>
                <w:szCs w:val="24"/>
              </w:rPr>
              <w:t>上海钢联</w:t>
            </w:r>
          </w:p>
        </w:tc>
        <w:tc>
          <w:tcPr>
            <w:vAlign w:val="center"/>
          </w:tcPr>
          <w:p>
            <w:pPr>
              <w:jc w:val="right"/>
            </w:pPr>
            <w:r>
              <w:rPr>
                <w:color w:val="000000"/>
                <w:sz w:val="24"/>
                <w:szCs w:val="24"/>
              </w:rPr>
              <w:t>486,490</w:t>
            </w:r>
          </w:p>
        </w:tc>
        <w:tc>
          <w:tcPr>
            <w:vAlign w:val="center"/>
          </w:tcPr>
          <w:p>
            <w:pPr>
              <w:jc w:val="right"/>
            </w:pPr>
            <w:r>
              <w:rPr>
                <w:color w:val="000000"/>
                <w:sz w:val="24"/>
                <w:szCs w:val="24"/>
              </w:rPr>
              <w:t>35,810,528.90</w:t>
            </w:r>
          </w:p>
        </w:tc>
        <w:tc>
          <w:tcPr>
            <w:vAlign w:val="center"/>
          </w:tcPr>
          <w:p>
            <w:pPr>
              <w:jc w:val="right"/>
            </w:pPr>
            <w:r>
              <w:rPr>
                <w:color w:val="000000"/>
                <w:sz w:val="24"/>
                <w:szCs w:val="24"/>
              </w:rPr>
              <w:t>4.05</w:t>
            </w:r>
          </w:p>
        </w:tc>
      </w:tr>
      <w:tr>
        <w:tc>
          <w:tcPr>
            <w:vAlign w:val="center"/>
          </w:tcPr>
          <w:p>
            <w:pPr>
              <w:jc w:val="center"/>
            </w:pPr>
            <w:r>
              <w:rPr>
                <w:color w:val="000000"/>
                <w:sz w:val="24"/>
                <w:szCs w:val="24"/>
              </w:rPr>
              <w:t>8</w:t>
            </w:r>
          </w:p>
        </w:tc>
        <w:tc>
          <w:tcPr>
            <w:vAlign w:val="center"/>
          </w:tcPr>
          <w:p>
            <w:pPr>
              <w:jc w:val="center"/>
            </w:pPr>
            <w:r>
              <w:rPr>
                <w:color w:val="000000"/>
                <w:sz w:val="24"/>
                <w:szCs w:val="24"/>
              </w:rPr>
              <w:t>002001</w:t>
            </w:r>
          </w:p>
        </w:tc>
        <w:tc>
          <w:tcPr>
            <w:vAlign w:val="center"/>
          </w:tcPr>
          <w:p>
            <w:pPr>
              <w:jc w:val="center"/>
            </w:pPr>
            <w:r>
              <w:rPr>
                <w:color w:val="000000"/>
                <w:sz w:val="24"/>
                <w:szCs w:val="24"/>
              </w:rPr>
              <w:t>新和成</w:t>
            </w:r>
          </w:p>
        </w:tc>
        <w:tc>
          <w:tcPr>
            <w:vAlign w:val="center"/>
          </w:tcPr>
          <w:p>
            <w:pPr>
              <w:jc w:val="right"/>
            </w:pPr>
            <w:r>
              <w:rPr>
                <w:color w:val="000000"/>
                <w:sz w:val="24"/>
                <w:szCs w:val="24"/>
              </w:rPr>
              <w:t>1,650,997</w:t>
            </w:r>
          </w:p>
        </w:tc>
        <w:tc>
          <w:tcPr>
            <w:vAlign w:val="center"/>
          </w:tcPr>
          <w:p>
            <w:pPr>
              <w:jc w:val="right"/>
            </w:pPr>
            <w:r>
              <w:rPr>
                <w:color w:val="000000"/>
                <w:sz w:val="24"/>
                <w:szCs w:val="24"/>
              </w:rPr>
              <w:t>35,314,825.83</w:t>
            </w:r>
          </w:p>
        </w:tc>
        <w:tc>
          <w:tcPr>
            <w:vAlign w:val="center"/>
          </w:tcPr>
          <w:p>
            <w:pPr>
              <w:jc w:val="right"/>
            </w:pPr>
            <w:r>
              <w:rPr>
                <w:color w:val="000000"/>
                <w:sz w:val="24"/>
                <w:szCs w:val="24"/>
              </w:rPr>
              <w:t>3.99</w:t>
            </w:r>
          </w:p>
        </w:tc>
      </w:tr>
      <w:tr>
        <w:tc>
          <w:tcPr>
            <w:vAlign w:val="center"/>
          </w:tcPr>
          <w:p>
            <w:pPr>
              <w:jc w:val="center"/>
            </w:pPr>
            <w:r>
              <w:rPr>
                <w:color w:val="000000"/>
                <w:sz w:val="24"/>
                <w:szCs w:val="24"/>
              </w:rPr>
              <w:t>9</w:t>
            </w:r>
          </w:p>
        </w:tc>
        <w:tc>
          <w:tcPr>
            <w:vAlign w:val="center"/>
          </w:tcPr>
          <w:p>
            <w:pPr>
              <w:jc w:val="center"/>
            </w:pPr>
            <w:r>
              <w:rPr>
                <w:color w:val="000000"/>
                <w:sz w:val="24"/>
                <w:szCs w:val="24"/>
              </w:rPr>
              <w:t>300016</w:t>
            </w:r>
          </w:p>
        </w:tc>
        <w:tc>
          <w:tcPr>
            <w:vAlign w:val="center"/>
          </w:tcPr>
          <w:p>
            <w:pPr>
              <w:jc w:val="center"/>
            </w:pPr>
            <w:r>
              <w:rPr>
                <w:color w:val="000000"/>
                <w:sz w:val="24"/>
                <w:szCs w:val="24"/>
              </w:rPr>
              <w:t>北陆药业</w:t>
            </w:r>
          </w:p>
        </w:tc>
        <w:tc>
          <w:tcPr>
            <w:vAlign w:val="center"/>
          </w:tcPr>
          <w:p>
            <w:pPr>
              <w:jc w:val="right"/>
            </w:pPr>
            <w:r>
              <w:rPr>
                <w:color w:val="000000"/>
                <w:sz w:val="24"/>
                <w:szCs w:val="24"/>
              </w:rPr>
              <w:t>3,648,726</w:t>
            </w:r>
          </w:p>
        </w:tc>
        <w:tc>
          <w:tcPr>
            <w:vAlign w:val="center"/>
          </w:tcPr>
          <w:p>
            <w:pPr>
              <w:jc w:val="right"/>
            </w:pPr>
            <w:r>
              <w:rPr>
                <w:color w:val="000000"/>
                <w:sz w:val="24"/>
                <w:szCs w:val="24"/>
              </w:rPr>
              <w:t>32,181,763.32</w:t>
            </w:r>
          </w:p>
        </w:tc>
        <w:tc>
          <w:tcPr>
            <w:vAlign w:val="center"/>
          </w:tcPr>
          <w:p>
            <w:pPr>
              <w:jc w:val="right"/>
            </w:pPr>
            <w:r>
              <w:rPr>
                <w:color w:val="000000"/>
                <w:sz w:val="24"/>
                <w:szCs w:val="24"/>
              </w:rPr>
              <w:t>3.64</w:t>
            </w:r>
          </w:p>
        </w:tc>
      </w:tr>
      <w:tr>
        <w:tc>
          <w:tcPr>
            <w:vAlign w:val="center"/>
          </w:tcPr>
          <w:p>
            <w:pPr>
              <w:jc w:val="center"/>
            </w:pPr>
            <w:r>
              <w:rPr>
                <w:color w:val="000000"/>
                <w:sz w:val="24"/>
                <w:szCs w:val="24"/>
              </w:rPr>
              <w:t>10</w:t>
            </w:r>
          </w:p>
        </w:tc>
        <w:tc>
          <w:tcPr>
            <w:vAlign w:val="center"/>
          </w:tcPr>
          <w:p>
            <w:pPr>
              <w:jc w:val="center"/>
            </w:pPr>
            <w:r>
              <w:rPr>
                <w:color w:val="000000"/>
                <w:sz w:val="24"/>
                <w:szCs w:val="24"/>
              </w:rPr>
              <w:t>600216</w:t>
            </w:r>
          </w:p>
        </w:tc>
        <w:tc>
          <w:tcPr>
            <w:vAlign w:val="center"/>
          </w:tcPr>
          <w:p>
            <w:pPr>
              <w:jc w:val="center"/>
            </w:pPr>
            <w:r>
              <w:rPr>
                <w:color w:val="000000"/>
                <w:sz w:val="24"/>
                <w:szCs w:val="24"/>
              </w:rPr>
              <w:t>浙江医药</w:t>
            </w:r>
          </w:p>
        </w:tc>
        <w:tc>
          <w:tcPr>
            <w:vAlign w:val="center"/>
          </w:tcPr>
          <w:p>
            <w:pPr>
              <w:jc w:val="right"/>
            </w:pPr>
            <w:r>
              <w:rPr>
                <w:color w:val="000000"/>
                <w:sz w:val="24"/>
                <w:szCs w:val="24"/>
              </w:rPr>
              <w:t>2,638,829</w:t>
            </w:r>
          </w:p>
        </w:tc>
        <w:tc>
          <w:tcPr>
            <w:vAlign w:val="center"/>
          </w:tcPr>
          <w:p>
            <w:pPr>
              <w:jc w:val="right"/>
            </w:pPr>
            <w:r>
              <w:rPr>
                <w:color w:val="000000"/>
                <w:sz w:val="24"/>
                <w:szCs w:val="24"/>
              </w:rPr>
              <w:t>30,214,592.05</w:t>
            </w:r>
          </w:p>
        </w:tc>
        <w:tc>
          <w:tcPr>
            <w:vAlign w:val="center"/>
          </w:tcPr>
          <w:p>
            <w:pPr>
              <w:jc w:val="right"/>
            </w:pPr>
            <w:r>
              <w:rPr>
                <w:color w:val="000000"/>
                <w:sz w:val="24"/>
                <w:szCs w:val="24"/>
              </w:rPr>
              <w:t>3.42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16,998,300.00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1.92</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39,990,000.00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4.52</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39,990,000.00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4.52</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56,988,300.00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6.44</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190304</w:t>
            </w:r>
          </w:p>
        </w:tc>
        <w:tc>
          <w:tcPr>
            <w:vAlign w:val="center"/>
          </w:tcPr>
          <w:p>
            <w:pPr>
              <w:jc w:val="center"/>
            </w:pPr>
            <w:r>
              <w:rPr>
                <w:color w:val="000000"/>
                <w:sz w:val="24"/>
                <w:szCs w:val="24"/>
              </w:rPr>
              <w:t>19进出04</w:t>
            </w:r>
          </w:p>
        </w:tc>
        <w:tc>
          <w:tcPr>
            <w:vAlign w:val="center"/>
          </w:tcPr>
          <w:p>
            <w:pPr>
              <w:jc w:val="right"/>
            </w:pPr>
            <w:r>
              <w:rPr>
                <w:color w:val="000000"/>
                <w:sz w:val="24"/>
                <w:szCs w:val="24"/>
              </w:rPr>
              <w:t>200,000</w:t>
            </w:r>
          </w:p>
        </w:tc>
        <w:tc>
          <w:tcPr>
            <w:vAlign w:val="center"/>
          </w:tcPr>
          <w:p>
            <w:pPr>
              <w:jc w:val="right"/>
            </w:pPr>
            <w:r>
              <w:rPr>
                <w:color w:val="000000"/>
                <w:sz w:val="24"/>
                <w:szCs w:val="24"/>
              </w:rPr>
              <w:t>19,996,000.00</w:t>
            </w:r>
          </w:p>
        </w:tc>
        <w:tc>
          <w:tcPr>
            <w:vAlign w:val="center"/>
          </w:tcPr>
          <w:p>
            <w:pPr>
              <w:jc w:val="right"/>
            </w:pPr>
            <w:r>
              <w:rPr>
                <w:color w:val="000000"/>
                <w:sz w:val="24"/>
                <w:szCs w:val="24"/>
              </w:rPr>
              <w:t>2.26</w:t>
            </w:r>
          </w:p>
        </w:tc>
      </w:tr>
      <w:tr>
        <w:tc>
          <w:tcPr>
            <w:vAlign w:val="center"/>
          </w:tcPr>
          <w:p>
            <w:pPr>
              <w:jc w:val="center"/>
            </w:pPr>
            <w:r>
              <w:rPr>
                <w:color w:val="000000"/>
                <w:sz w:val="24"/>
                <w:szCs w:val="24"/>
              </w:rPr>
              <w:t>2</w:t>
            </w:r>
          </w:p>
        </w:tc>
        <w:tc>
          <w:tcPr>
            <w:vAlign w:val="center"/>
          </w:tcPr>
          <w:p>
            <w:pPr>
              <w:jc w:val="center"/>
            </w:pPr>
            <w:r>
              <w:rPr>
                <w:color w:val="000000"/>
                <w:sz w:val="24"/>
                <w:szCs w:val="24"/>
              </w:rPr>
              <w:t>190206</w:t>
            </w:r>
          </w:p>
        </w:tc>
        <w:tc>
          <w:tcPr>
            <w:vAlign w:val="center"/>
          </w:tcPr>
          <w:p>
            <w:pPr>
              <w:jc w:val="center"/>
            </w:pPr>
            <w:r>
              <w:rPr>
                <w:color w:val="000000"/>
                <w:sz w:val="24"/>
                <w:szCs w:val="24"/>
              </w:rPr>
              <w:t>19国开06</w:t>
            </w:r>
          </w:p>
        </w:tc>
        <w:tc>
          <w:tcPr>
            <w:vAlign w:val="center"/>
          </w:tcPr>
          <w:p>
            <w:pPr>
              <w:jc w:val="right"/>
            </w:pPr>
            <w:r>
              <w:rPr>
                <w:color w:val="000000"/>
                <w:sz w:val="24"/>
                <w:szCs w:val="24"/>
              </w:rPr>
              <w:t>200,000</w:t>
            </w:r>
          </w:p>
        </w:tc>
        <w:tc>
          <w:tcPr>
            <w:vAlign w:val="center"/>
          </w:tcPr>
          <w:p>
            <w:pPr>
              <w:jc w:val="right"/>
            </w:pPr>
            <w:r>
              <w:rPr>
                <w:color w:val="000000"/>
                <w:sz w:val="24"/>
                <w:szCs w:val="24"/>
              </w:rPr>
              <w:t>19,994,000.00</w:t>
            </w:r>
          </w:p>
        </w:tc>
        <w:tc>
          <w:tcPr>
            <w:vAlign w:val="center"/>
          </w:tcPr>
          <w:p>
            <w:pPr>
              <w:jc w:val="right"/>
            </w:pPr>
            <w:r>
              <w:rPr>
                <w:color w:val="000000"/>
                <w:sz w:val="24"/>
                <w:szCs w:val="24"/>
              </w:rPr>
              <w:t>2.26</w:t>
            </w:r>
          </w:p>
        </w:tc>
      </w:tr>
      <w:tr>
        <w:tc>
          <w:tcPr>
            <w:vAlign w:val="center"/>
          </w:tcPr>
          <w:p>
            <w:pPr>
              <w:jc w:val="center"/>
            </w:pPr>
            <w:r>
              <w:rPr>
                <w:color w:val="000000"/>
                <w:sz w:val="24"/>
                <w:szCs w:val="24"/>
              </w:rPr>
              <w:t>3</w:t>
            </w:r>
          </w:p>
        </w:tc>
        <w:tc>
          <w:tcPr>
            <w:vAlign w:val="center"/>
          </w:tcPr>
          <w:p>
            <w:pPr>
              <w:jc w:val="center"/>
            </w:pPr>
            <w:r>
              <w:rPr>
                <w:color w:val="000000"/>
                <w:sz w:val="24"/>
                <w:szCs w:val="24"/>
              </w:rPr>
              <w:t>019611</w:t>
            </w:r>
          </w:p>
        </w:tc>
        <w:tc>
          <w:tcPr>
            <w:vAlign w:val="center"/>
          </w:tcPr>
          <w:p>
            <w:pPr>
              <w:jc w:val="center"/>
            </w:pPr>
            <w:r>
              <w:rPr>
                <w:color w:val="000000"/>
                <w:sz w:val="24"/>
                <w:szCs w:val="24"/>
              </w:rPr>
              <w:t>19国债01</w:t>
            </w:r>
          </w:p>
        </w:tc>
        <w:tc>
          <w:tcPr>
            <w:vAlign w:val="center"/>
          </w:tcPr>
          <w:p>
            <w:pPr>
              <w:jc w:val="right"/>
            </w:pPr>
            <w:r>
              <w:rPr>
                <w:color w:val="000000"/>
                <w:sz w:val="24"/>
                <w:szCs w:val="24"/>
              </w:rPr>
              <w:t>170,000</w:t>
            </w:r>
          </w:p>
        </w:tc>
        <w:tc>
          <w:tcPr>
            <w:vAlign w:val="center"/>
          </w:tcPr>
          <w:p>
            <w:pPr>
              <w:jc w:val="right"/>
            </w:pPr>
            <w:r>
              <w:rPr>
                <w:color w:val="000000"/>
                <w:sz w:val="24"/>
                <w:szCs w:val="24"/>
              </w:rPr>
              <w:t>16,998,300.00</w:t>
            </w:r>
          </w:p>
        </w:tc>
        <w:tc>
          <w:tcPr>
            <w:vAlign w:val="center"/>
          </w:tcPr>
          <w:p>
            <w:pPr>
              <w:jc w:val="right"/>
            </w:pPr>
            <w:r>
              <w:rPr>
                <w:color w:val="000000"/>
                <w:sz w:val="24"/>
                <w:szCs w:val="24"/>
              </w:rPr>
              <w:t>1.92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491,787.97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1,922,426.51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720,935.42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437,937.76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3,573,087.66</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890,386,115.80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44,760,340.38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301,902,156.38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633,244,299.80</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1、中国证监会核准交银施罗德先锋股票证券投资基金募集的文件；</w:t>
      </w:r>
    </w:p>
    <w:p>
      <w:pPr>
        <w:spacing w:before="29" w:line="288" w:lineRule="auto"/>
        <w:ind w:firstLine="480" w:firstLineChars="200"/>
        <w:rPr>
          <w:color w:val="000000"/>
          <w:sz w:val="24"/>
          <w:szCs w:val="24"/>
        </w:rPr>
      </w:pPr>
      <w:r>
        <w:rPr>
          <w:color w:val="000000"/>
          <w:sz w:val="24"/>
          <w:szCs w:val="24"/>
        </w:rPr>
        <w:t>2、《交银施罗德先锋混合型证券投资基金基金合同》；</w:t>
      </w:r>
    </w:p>
    <w:p>
      <w:pPr>
        <w:spacing w:before="29" w:line="288" w:lineRule="auto"/>
        <w:ind w:firstLine="480" w:firstLineChars="200"/>
        <w:rPr>
          <w:color w:val="000000"/>
          <w:sz w:val="24"/>
          <w:szCs w:val="24"/>
        </w:rPr>
      </w:pPr>
      <w:r>
        <w:rPr>
          <w:color w:val="000000"/>
          <w:sz w:val="24"/>
          <w:szCs w:val="24"/>
        </w:rPr>
        <w:t>3、《交银施罗德先锋混合型证券投资基金招募说明书》；</w:t>
      </w:r>
    </w:p>
    <w:p>
      <w:pPr>
        <w:spacing w:before="29" w:line="288" w:lineRule="auto"/>
        <w:ind w:firstLine="480" w:firstLineChars="200"/>
        <w:rPr>
          <w:color w:val="000000"/>
          <w:sz w:val="24"/>
          <w:szCs w:val="24"/>
        </w:rPr>
      </w:pPr>
      <w:r>
        <w:rPr>
          <w:color w:val="000000"/>
          <w:sz w:val="24"/>
          <w:szCs w:val="24"/>
        </w:rPr>
        <w:t>4、《交银施罗德先锋混合型证券投资基金托管协议》；</w:t>
      </w:r>
    </w:p>
    <w:p>
      <w:pPr>
        <w:spacing w:before="29" w:line="288" w:lineRule="auto"/>
        <w:ind w:firstLine="480" w:firstLineChars="200"/>
        <w:rPr>
          <w:color w:val="000000"/>
          <w:sz w:val="24"/>
          <w:szCs w:val="24"/>
        </w:rPr>
      </w:pPr>
      <w:r>
        <w:rPr>
          <w:color w:val="000000"/>
          <w:sz w:val="24"/>
          <w:szCs w:val="24"/>
        </w:rPr>
        <w:t>5、基金管理人业务资格批件、营业执照；</w:t>
      </w:r>
    </w:p>
    <w:p>
      <w:pPr>
        <w:spacing w:before="29" w:line="288" w:lineRule="auto"/>
        <w:ind w:firstLine="480" w:firstLineChars="200"/>
        <w:rPr>
          <w:color w:val="000000"/>
          <w:sz w:val="24"/>
          <w:szCs w:val="24"/>
        </w:rPr>
      </w:pPr>
      <w:r>
        <w:rPr>
          <w:color w:val="000000"/>
          <w:sz w:val="24"/>
          <w:szCs w:val="24"/>
        </w:rPr>
        <w:t>6、基金托管人业务资格批件、营业执照；</w:t>
      </w:r>
    </w:p>
    <w:p>
      <w:pPr>
        <w:spacing w:before="29" w:line="288" w:lineRule="auto"/>
        <w:ind w:firstLine="480" w:firstLineChars="200"/>
        <w:rPr>
          <w:color w:val="000000"/>
          <w:sz w:val="24"/>
          <w:szCs w:val="24"/>
        </w:rPr>
      </w:pPr>
      <w:r>
        <w:rPr>
          <w:color w:val="000000"/>
          <w:sz w:val="24"/>
          <w:szCs w:val="24"/>
        </w:rPr>
        <w:t>7、关于申请募集交银施罗德先锋股票证券投资基金之法律意见书；</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8、报告期内交银施罗德先锋混合型证券投资基金在指定报刊上各项公告的原稿。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交银施罗德先锋混合型证券投资基金2019年第3季度报告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