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交银施罗德信用添利债券证券投资基金（</w:t>
      </w:r>
      <w:r w:rsidRPr="0081286B">
        <w:rPr>
          <w:b/>
          <w:sz w:val="36"/>
          <w:szCs w:val="36"/>
        </w:rPr>
        <w:t>LOF</w:t>
      </w:r>
      <w:r w:rsidRPr="0081286B">
        <w:rPr>
          <w:b/>
          <w:sz w:val="36"/>
          <w:szCs w:val="36"/>
        </w:rPr>
        <w:t>）</w:t>
      </w:r>
    </w:p>
    <w:p w:rsidR="002279D3" w:rsidRPr="0081286B" w:rsidRDefault="002279D3" w:rsidP="00C15CAC">
      <w:pPr>
        <w:spacing w:before="29" w:line="288" w:lineRule="auto"/>
        <w:jc w:val="center"/>
        <w:rPr>
          <w:b/>
          <w:sz w:val="36"/>
          <w:szCs w:val="36"/>
        </w:rPr>
      </w:pPr>
      <w:r w:rsidRPr="0081286B">
        <w:rPr>
          <w:b/>
          <w:sz w:val="36"/>
          <w:szCs w:val="36"/>
        </w:rPr>
        <w:t>2019</w:t>
      </w:r>
      <w:r w:rsidRPr="0081286B">
        <w:rPr>
          <w:b/>
          <w:sz w:val="36"/>
          <w:szCs w:val="36"/>
        </w:rPr>
        <w:t>年第</w:t>
      </w:r>
      <w:r w:rsidRPr="0081286B">
        <w:rPr>
          <w:b/>
          <w:sz w:val="36"/>
          <w:szCs w:val="36"/>
        </w:rPr>
        <w:t>3</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2019</w:t>
      </w:r>
      <w:r w:rsidRPr="0081286B">
        <w:rPr>
          <w:b/>
          <w:sz w:val="36"/>
          <w:szCs w:val="36"/>
        </w:rPr>
        <w:t>年</w:t>
      </w:r>
      <w:r w:rsidRPr="0081286B">
        <w:rPr>
          <w:b/>
          <w:sz w:val="36"/>
          <w:szCs w:val="36"/>
        </w:rPr>
        <w:t>9</w:t>
      </w:r>
      <w:r w:rsidRPr="0081286B">
        <w:rPr>
          <w:b/>
          <w:sz w:val="36"/>
          <w:szCs w:val="36"/>
        </w:rPr>
        <w:t>月</w:t>
      </w:r>
      <w:r w:rsidRPr="0081286B">
        <w:rPr>
          <w:b/>
          <w:sz w:val="36"/>
          <w:szCs w:val="36"/>
        </w:rPr>
        <w:t>30</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基金托管人：中国农业银行股份有限公司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二〇一九年十月二十二日</w:t>
      </w:r>
    </w:p>
    <w:p w:rsidR="004061AC" w:rsidRPr="00414345" w:rsidRDefault="004061AC" w:rsidP="0011537B">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1B6709" w:rsidRDefault="00FE052B">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1B6709" w:rsidRDefault="00FE052B">
      <w:pPr>
        <w:spacing w:before="29" w:line="288" w:lineRule="auto"/>
        <w:ind w:firstLineChars="200" w:firstLine="480"/>
        <w:rPr>
          <w:color w:val="000000"/>
          <w:sz w:val="24"/>
          <w:szCs w:val="24"/>
        </w:rPr>
      </w:pPr>
      <w:r>
        <w:rPr>
          <w:color w:val="000000"/>
          <w:sz w:val="24"/>
          <w:szCs w:val="24"/>
        </w:rPr>
        <w:t>基金托管人中国农业银行股份有限公司根据本基金合同规定，于</w:t>
      </w:r>
      <w:r>
        <w:rPr>
          <w:color w:val="000000"/>
          <w:sz w:val="24"/>
          <w:szCs w:val="24"/>
        </w:rPr>
        <w:t>2019</w:t>
      </w:r>
      <w:r>
        <w:rPr>
          <w:color w:val="000000"/>
          <w:sz w:val="24"/>
          <w:szCs w:val="24"/>
        </w:rPr>
        <w:t>年</w:t>
      </w:r>
      <w:r>
        <w:rPr>
          <w:color w:val="000000"/>
          <w:sz w:val="24"/>
          <w:szCs w:val="24"/>
        </w:rPr>
        <w:t>10</w:t>
      </w:r>
      <w:r>
        <w:rPr>
          <w:color w:val="000000"/>
          <w:sz w:val="24"/>
          <w:szCs w:val="24"/>
        </w:rPr>
        <w:t>月</w:t>
      </w:r>
      <w:r>
        <w:rPr>
          <w:color w:val="000000"/>
          <w:sz w:val="24"/>
          <w:szCs w:val="24"/>
        </w:rPr>
        <w:t>21</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1B6709" w:rsidRDefault="00FE052B">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1B6709" w:rsidRDefault="00FE052B">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1B6709" w:rsidRDefault="00FE052B">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2019</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9</w:t>
      </w:r>
      <w:r w:rsidRPr="00414345">
        <w:rPr>
          <w:color w:val="000000"/>
          <w:sz w:val="24"/>
          <w:szCs w:val="24"/>
        </w:rPr>
        <w:t>月</w:t>
      </w:r>
      <w:r w:rsidRPr="00414345">
        <w:rPr>
          <w:color w:val="000000"/>
          <w:sz w:val="24"/>
          <w:szCs w:val="24"/>
        </w:rPr>
        <w:t>30</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2923"/>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gridSpan w:val="2"/>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交银信用添利债券（</w:t>
            </w:r>
            <w:r w:rsidRPr="00414345">
              <w:rPr>
                <w:color w:val="000000"/>
                <w:kern w:val="0"/>
                <w:sz w:val="24"/>
                <w:szCs w:val="24"/>
              </w:rPr>
              <w:t>LOF</w:t>
            </w:r>
            <w:r w:rsidRPr="00414345">
              <w:rPr>
                <w:color w:val="000000"/>
                <w:kern w:val="0"/>
                <w:sz w:val="24"/>
                <w:szCs w:val="24"/>
              </w:rPr>
              <w:t>）</w:t>
            </w:r>
          </w:p>
        </w:tc>
      </w:tr>
      <w:tr w:rsidR="006E6726" w:rsidRPr="00414345" w:rsidTr="006E6726">
        <w:trPr>
          <w:jc w:val="center"/>
        </w:trPr>
        <w:tc>
          <w:tcPr>
            <w:tcW w:w="3023" w:type="dxa"/>
            <w:vAlign w:val="center"/>
          </w:tcPr>
          <w:p w:rsidR="006E6726" w:rsidRDefault="006E6726">
            <w:pPr>
              <w:adjustRightInd w:val="0"/>
              <w:spacing w:before="29" w:line="288" w:lineRule="auto"/>
              <w:ind w:left="17"/>
              <w:jc w:val="left"/>
              <w:rPr>
                <w:kern w:val="0"/>
                <w:sz w:val="24"/>
                <w:szCs w:val="24"/>
              </w:rPr>
            </w:pPr>
            <w:r>
              <w:rPr>
                <w:rFonts w:hint="eastAsia"/>
                <w:kern w:val="0"/>
                <w:sz w:val="24"/>
              </w:rPr>
              <w:t>场内简称</w:t>
            </w:r>
          </w:p>
        </w:tc>
        <w:tc>
          <w:tcPr>
            <w:tcW w:w="5845" w:type="dxa"/>
            <w:gridSpan w:val="2"/>
            <w:vAlign w:val="center"/>
          </w:tcPr>
          <w:p w:rsidR="006E6726" w:rsidRDefault="006E6726">
            <w:pPr>
              <w:adjustRightInd w:val="0"/>
              <w:spacing w:before="29" w:line="288" w:lineRule="auto"/>
              <w:ind w:left="17"/>
              <w:jc w:val="left"/>
              <w:rPr>
                <w:color w:val="000000"/>
                <w:kern w:val="0"/>
                <w:sz w:val="24"/>
                <w:szCs w:val="24"/>
              </w:rPr>
            </w:pPr>
            <w:r>
              <w:rPr>
                <w:color w:val="000000"/>
                <w:kern w:val="0"/>
                <w:sz w:val="24"/>
              </w:rPr>
              <w:t>交银添利</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gridSpan w:val="2"/>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164902</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2922" w:type="dxa"/>
            <w:tcBorders>
              <w:top w:val="single" w:sz="4" w:space="0" w:color="auto"/>
              <w:left w:val="single" w:sz="4" w:space="0" w:color="auto"/>
              <w:bottom w:val="single" w:sz="4" w:space="0" w:color="auto"/>
              <w:right w:val="single" w:sz="4" w:space="0" w:color="auto"/>
            </w:tcBorders>
            <w:vAlign w:val="center"/>
            <w:hideMark/>
          </w:tcPr>
          <w:p w:rsidR="001B2F35" w:rsidRPr="00414345" w:rsidRDefault="001B2F35" w:rsidP="00C15CAC">
            <w:pPr>
              <w:adjustRightInd w:val="0"/>
              <w:spacing w:before="29" w:line="288" w:lineRule="auto"/>
              <w:ind w:left="17"/>
              <w:jc w:val="left"/>
              <w:rPr>
                <w:color w:val="000000"/>
                <w:kern w:val="0"/>
                <w:sz w:val="24"/>
                <w:szCs w:val="24"/>
              </w:rPr>
            </w:pPr>
            <w:r w:rsidRPr="00414345">
              <w:rPr>
                <w:color w:val="000000"/>
                <w:kern w:val="0"/>
                <w:sz w:val="24"/>
                <w:szCs w:val="24"/>
              </w:rPr>
              <w:t>164902</w:t>
            </w:r>
            <w:r w:rsidR="004216D2" w:rsidRPr="00414345">
              <w:rPr>
                <w:color w:val="000000"/>
                <w:kern w:val="0"/>
                <w:sz w:val="24"/>
              </w:rPr>
              <w:t>(</w:t>
            </w:r>
            <w:r w:rsidR="004216D2" w:rsidRPr="00414345">
              <w:rPr>
                <w:color w:val="000000"/>
                <w:kern w:val="0"/>
                <w:sz w:val="24"/>
              </w:rPr>
              <w:t>前端</w:t>
            </w:r>
            <w:r w:rsidR="004216D2" w:rsidRPr="00414345">
              <w:rPr>
                <w:color w:val="000000"/>
                <w:kern w:val="0"/>
                <w:sz w:val="24"/>
              </w:rPr>
              <w:t>)</w:t>
            </w:r>
          </w:p>
        </w:tc>
        <w:tc>
          <w:tcPr>
            <w:tcW w:w="2923" w:type="dxa"/>
            <w:tcBorders>
              <w:top w:val="single" w:sz="4" w:space="0" w:color="auto"/>
              <w:left w:val="single" w:sz="4" w:space="0" w:color="auto"/>
              <w:bottom w:val="single" w:sz="4" w:space="0" w:color="auto"/>
              <w:right w:val="single" w:sz="4" w:space="0" w:color="auto"/>
            </w:tcBorders>
            <w:vAlign w:val="center"/>
            <w:hideMark/>
          </w:tcPr>
          <w:p w:rsidR="001B2F35" w:rsidRPr="00414345" w:rsidRDefault="001B2F35" w:rsidP="00C15CAC">
            <w:pPr>
              <w:adjustRightInd w:val="0"/>
              <w:spacing w:before="29" w:line="288" w:lineRule="auto"/>
              <w:ind w:left="17"/>
              <w:jc w:val="left"/>
              <w:rPr>
                <w:color w:val="000000"/>
                <w:kern w:val="0"/>
                <w:sz w:val="24"/>
                <w:szCs w:val="24"/>
              </w:rPr>
            </w:pPr>
            <w:r w:rsidRPr="00414345">
              <w:rPr>
                <w:color w:val="000000"/>
                <w:kern w:val="0"/>
                <w:sz w:val="24"/>
                <w:szCs w:val="24"/>
              </w:rPr>
              <w:t>164903</w:t>
            </w:r>
            <w:r w:rsidR="00604E50" w:rsidRPr="00414345">
              <w:rPr>
                <w:color w:val="000000"/>
                <w:kern w:val="0"/>
                <w:sz w:val="24"/>
              </w:rPr>
              <w:t>(</w:t>
            </w:r>
            <w:r w:rsidR="00604E50" w:rsidRPr="00414345">
              <w:rPr>
                <w:color w:val="000000"/>
                <w:kern w:val="0"/>
                <w:sz w:val="24"/>
              </w:rPr>
              <w:t>后端</w:t>
            </w:r>
            <w:r w:rsidR="00604E50" w:rsidRPr="00414345">
              <w:rPr>
                <w:color w:val="000000"/>
                <w:kern w:val="0"/>
                <w:sz w:val="24"/>
              </w:rPr>
              <w:t>)</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上市契约型开放式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2011</w:t>
            </w:r>
            <w:r w:rsidRPr="00414345">
              <w:rPr>
                <w:color w:val="000000"/>
                <w:kern w:val="0"/>
                <w:sz w:val="24"/>
                <w:szCs w:val="24"/>
              </w:rPr>
              <w:t>年</w:t>
            </w:r>
            <w:r w:rsidRPr="00414345">
              <w:rPr>
                <w:color w:val="000000"/>
                <w:kern w:val="0"/>
                <w:sz w:val="24"/>
                <w:szCs w:val="24"/>
              </w:rPr>
              <w:t>1</w:t>
            </w:r>
            <w:r w:rsidRPr="00414345">
              <w:rPr>
                <w:color w:val="000000"/>
                <w:kern w:val="0"/>
                <w:sz w:val="24"/>
                <w:szCs w:val="24"/>
              </w:rPr>
              <w:t>月</w:t>
            </w:r>
            <w:r w:rsidRPr="00414345">
              <w:rPr>
                <w:color w:val="000000"/>
                <w:kern w:val="0"/>
                <w:sz w:val="24"/>
                <w:szCs w:val="24"/>
              </w:rPr>
              <w:t>27</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1,887,935,431.17</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根据宏观经济运行状况和金融市场的运行趋势，自上而下进行宏观分析，自下而上精选个券，在控制信用风险、利率风险和流动性风险前提下，力求通过主动承担适度信用风险获得持续投资收益，谋求基金资产的长期稳定增长。</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将规范化的基本面研究、严谨的信用分析与积极主动的投资风格相结合，在分析和判断宏观经济运行状况和金融市场运行趋势的基础上，动态调整大类金融资产比例，自上而下决定债券组合久期及债券类属配置；在严谨深入的信用分析基础上，综合考量信用债券的信用评级，</w:t>
            </w:r>
            <w:r w:rsidRPr="00414345">
              <w:rPr>
                <w:color w:val="000000"/>
                <w:kern w:val="0"/>
                <w:sz w:val="24"/>
                <w:szCs w:val="24"/>
              </w:rPr>
              <w:lastRenderedPageBreak/>
              <w:t>以及各类债券的流动性、供求关系和收益率水平等，自下而上地精选个券。同时，本基金也会关注股票一级市场、权证一级市场等其它相关市场存在的投资机会，力争实现基金总体风险收益特征保持不变前提下的基金资产增值最大化。</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业绩比较基准</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80%×</w:t>
            </w:r>
            <w:r w:rsidRPr="00414345">
              <w:rPr>
                <w:color w:val="000000"/>
                <w:kern w:val="0"/>
                <w:sz w:val="24"/>
                <w:szCs w:val="24"/>
              </w:rPr>
              <w:t>中债企业债总全价指数收益率</w:t>
            </w:r>
            <w:r w:rsidRPr="00414345">
              <w:rPr>
                <w:color w:val="000000"/>
                <w:kern w:val="0"/>
                <w:sz w:val="24"/>
                <w:szCs w:val="24"/>
              </w:rPr>
              <w:t>+20%×</w:t>
            </w:r>
            <w:r w:rsidRPr="00414345">
              <w:rPr>
                <w:color w:val="000000"/>
                <w:kern w:val="0"/>
                <w:sz w:val="24"/>
                <w:szCs w:val="24"/>
              </w:rPr>
              <w:t>中债国债总全价指数收益率</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风险收益特征</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本基金是一只债券型基金，属于证券投资基金中中等风险的品种，其长期平均的预期收益和风险高于货币市场基金，低于混合型基金和股票型基金。</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gridSpan w:val="2"/>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中国农业银行股份有限公司</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注：根据本基金《基金合同》及《招募说明书》的相关规定，本基金在基金合同生效之日起三年</w:t>
      </w:r>
      <w:r w:rsidRPr="00414345">
        <w:rPr>
          <w:color w:val="000000"/>
          <w:sz w:val="24"/>
          <w:szCs w:val="24"/>
        </w:rPr>
        <w:t>(</w:t>
      </w:r>
      <w:r w:rsidRPr="00414345">
        <w:rPr>
          <w:color w:val="000000"/>
          <w:sz w:val="24"/>
          <w:szCs w:val="24"/>
        </w:rPr>
        <w:t>含三年</w:t>
      </w:r>
      <w:r w:rsidRPr="00414345">
        <w:rPr>
          <w:color w:val="000000"/>
          <w:sz w:val="24"/>
          <w:szCs w:val="24"/>
        </w:rPr>
        <w:t>)</w:t>
      </w:r>
      <w:r w:rsidRPr="00414345">
        <w:rPr>
          <w:color w:val="000000"/>
          <w:sz w:val="24"/>
          <w:szCs w:val="24"/>
        </w:rPr>
        <w:t>的期间内，采取封闭式运作，在深圳证券交易所上市交易，封闭期结束后转为上市开放式基金（</w:t>
      </w:r>
      <w:r w:rsidRPr="00414345">
        <w:rPr>
          <w:color w:val="000000"/>
          <w:sz w:val="24"/>
          <w:szCs w:val="24"/>
        </w:rPr>
        <w:t>LOF</w:t>
      </w:r>
      <w:r w:rsidRPr="00414345">
        <w:rPr>
          <w:color w:val="000000"/>
          <w:sz w:val="24"/>
          <w:szCs w:val="24"/>
        </w:rPr>
        <w:t>）。本基金封闭期自</w:t>
      </w:r>
      <w:r w:rsidRPr="00414345">
        <w:rPr>
          <w:color w:val="000000"/>
          <w:sz w:val="24"/>
          <w:szCs w:val="24"/>
        </w:rPr>
        <w:t>2011</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27</w:t>
      </w:r>
      <w:r w:rsidRPr="00414345">
        <w:rPr>
          <w:color w:val="000000"/>
          <w:sz w:val="24"/>
          <w:szCs w:val="24"/>
        </w:rPr>
        <w:t>日</w:t>
      </w:r>
      <w:r w:rsidRPr="00414345">
        <w:rPr>
          <w:color w:val="000000"/>
          <w:sz w:val="24"/>
          <w:szCs w:val="24"/>
        </w:rPr>
        <w:t>(</w:t>
      </w:r>
      <w:r w:rsidRPr="00414345">
        <w:rPr>
          <w:color w:val="000000"/>
          <w:sz w:val="24"/>
          <w:szCs w:val="24"/>
        </w:rPr>
        <w:t>基金合同生效日</w:t>
      </w:r>
      <w:r w:rsidRPr="00414345">
        <w:rPr>
          <w:color w:val="000000"/>
          <w:sz w:val="24"/>
          <w:szCs w:val="24"/>
        </w:rPr>
        <w:t>)</w:t>
      </w:r>
      <w:r w:rsidRPr="00414345">
        <w:rPr>
          <w:color w:val="000000"/>
          <w:sz w:val="24"/>
          <w:szCs w:val="24"/>
        </w:rPr>
        <w:t>起至</w:t>
      </w:r>
      <w:r w:rsidRPr="00414345">
        <w:rPr>
          <w:color w:val="000000"/>
          <w:sz w:val="24"/>
          <w:szCs w:val="24"/>
        </w:rPr>
        <w:t>2014</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27</w:t>
      </w:r>
      <w:r w:rsidRPr="00414345">
        <w:rPr>
          <w:color w:val="000000"/>
          <w:sz w:val="24"/>
          <w:szCs w:val="24"/>
        </w:rPr>
        <w:t>日止，自</w:t>
      </w:r>
      <w:r w:rsidRPr="00414345">
        <w:rPr>
          <w:color w:val="000000"/>
          <w:sz w:val="24"/>
          <w:szCs w:val="24"/>
        </w:rPr>
        <w:t>2014</w:t>
      </w:r>
      <w:r w:rsidRPr="00414345">
        <w:rPr>
          <w:color w:val="000000"/>
          <w:sz w:val="24"/>
          <w:szCs w:val="24"/>
        </w:rPr>
        <w:t>年</w:t>
      </w:r>
      <w:r w:rsidRPr="00414345">
        <w:rPr>
          <w:color w:val="000000"/>
          <w:sz w:val="24"/>
          <w:szCs w:val="24"/>
        </w:rPr>
        <w:t>1</w:t>
      </w:r>
      <w:r w:rsidRPr="00414345">
        <w:rPr>
          <w:color w:val="000000"/>
          <w:sz w:val="24"/>
          <w:szCs w:val="24"/>
        </w:rPr>
        <w:t>月</w:t>
      </w:r>
      <w:r w:rsidRPr="00414345">
        <w:rPr>
          <w:color w:val="000000"/>
          <w:sz w:val="24"/>
          <w:szCs w:val="24"/>
        </w:rPr>
        <w:t>28</w:t>
      </w:r>
      <w:r w:rsidRPr="00414345">
        <w:rPr>
          <w:color w:val="000000"/>
          <w:sz w:val="24"/>
          <w:szCs w:val="24"/>
        </w:rPr>
        <w:t>日起基金运作方式转为</w:t>
      </w:r>
      <w:r w:rsidRPr="00414345">
        <w:rPr>
          <w:color w:val="000000"/>
          <w:sz w:val="24"/>
          <w:szCs w:val="24"/>
        </w:rPr>
        <w:t>“</w:t>
      </w:r>
      <w:r w:rsidRPr="00414345">
        <w:rPr>
          <w:color w:val="000000"/>
          <w:sz w:val="24"/>
          <w:szCs w:val="24"/>
        </w:rPr>
        <w:t>上市契约型开放式</w:t>
      </w:r>
      <w:r w:rsidRPr="00414345">
        <w:rPr>
          <w:color w:val="000000"/>
          <w:sz w:val="24"/>
          <w:szCs w:val="24"/>
        </w:rPr>
        <w:t>”</w:t>
      </w:r>
      <w:r w:rsidRPr="00414345">
        <w:rPr>
          <w:color w:val="000000"/>
          <w:sz w:val="24"/>
          <w:szCs w:val="24"/>
        </w:rPr>
        <w:t>，并于同日起开放本基金的申购、赎回业务。本基金在募集期仅开通前端基金份额的认购，转为上市开放式基金（</w:t>
      </w:r>
      <w:r w:rsidRPr="00414345">
        <w:rPr>
          <w:color w:val="000000"/>
          <w:sz w:val="24"/>
          <w:szCs w:val="24"/>
        </w:rPr>
        <w:t>LOF</w:t>
      </w:r>
      <w:r w:rsidRPr="00414345">
        <w:rPr>
          <w:color w:val="000000"/>
          <w:sz w:val="24"/>
          <w:szCs w:val="24"/>
        </w:rPr>
        <w:t>）后同时开通前端基金份额和后端基金份额的申购和赎回。</w:t>
      </w:r>
    </w:p>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FE052B" w:rsidRPr="00414345" w:rsidTr="00FE052B">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(2019</w:t>
            </w:r>
            <w:r w:rsidRPr="00414345">
              <w:rPr>
                <w:color w:val="000000"/>
                <w:sz w:val="24"/>
                <w:szCs w:val="24"/>
              </w:rPr>
              <w:t>年</w:t>
            </w:r>
            <w:r w:rsidRPr="00414345">
              <w:rPr>
                <w:color w:val="000000"/>
                <w:sz w:val="24"/>
                <w:szCs w:val="24"/>
              </w:rPr>
              <w:t>7</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-2019</w:t>
            </w:r>
            <w:r w:rsidRPr="00414345">
              <w:rPr>
                <w:color w:val="000000"/>
                <w:sz w:val="24"/>
                <w:szCs w:val="24"/>
              </w:rPr>
              <w:t>年</w:t>
            </w:r>
            <w:r w:rsidRPr="00414345">
              <w:rPr>
                <w:color w:val="000000"/>
                <w:sz w:val="24"/>
                <w:szCs w:val="24"/>
              </w:rPr>
              <w:t>9</w:t>
            </w:r>
            <w:r w:rsidRPr="00414345">
              <w:rPr>
                <w:color w:val="000000"/>
                <w:sz w:val="24"/>
                <w:szCs w:val="24"/>
              </w:rPr>
              <w:t>月</w:t>
            </w:r>
            <w:r w:rsidRPr="00414345">
              <w:rPr>
                <w:color w:val="000000"/>
                <w:sz w:val="24"/>
                <w:szCs w:val="24"/>
              </w:rPr>
              <w:t>30</w:t>
            </w:r>
            <w:r w:rsidRPr="00414345">
              <w:rPr>
                <w:color w:val="000000"/>
                <w:sz w:val="24"/>
                <w:szCs w:val="24"/>
              </w:rPr>
              <w:t>日</w:t>
            </w:r>
            <w:r w:rsidRPr="00414345">
              <w:rPr>
                <w:color w:val="000000"/>
                <w:sz w:val="24"/>
                <w:szCs w:val="24"/>
              </w:rPr>
              <w:t>)</w:t>
            </w:r>
          </w:p>
        </w:tc>
      </w:tr>
      <w:tr w:rsidR="00FE052B" w:rsidRPr="00414345" w:rsidTr="00FE052B">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14,664,840.70</w:t>
            </w:r>
          </w:p>
        </w:tc>
      </w:tr>
      <w:tr w:rsidR="00FE052B" w:rsidRPr="00414345" w:rsidTr="00FE052B">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20,199,211.70</w:t>
            </w:r>
          </w:p>
        </w:tc>
      </w:tr>
      <w:tr w:rsidR="00FE052B" w:rsidRPr="00414345" w:rsidTr="00FE052B">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0.0114</w:t>
            </w:r>
          </w:p>
        </w:tc>
      </w:tr>
      <w:tr w:rsidR="00FE052B" w:rsidRPr="00414345" w:rsidTr="00FE052B">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2,226,960,084.67</w:t>
            </w:r>
          </w:p>
        </w:tc>
      </w:tr>
      <w:tr w:rsidR="00FE052B" w:rsidRPr="00414345" w:rsidTr="00FE052B">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1.180</w:t>
            </w:r>
          </w:p>
        </w:tc>
      </w:tr>
    </w:tbl>
    <w:p w:rsidR="001B6709" w:rsidRDefault="00FE052B">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1B6709">
        <w:trPr>
          <w:jc w:val="center"/>
        </w:trPr>
        <w:tc>
          <w:tcPr>
            <w:tcW w:w="1701" w:type="dxa"/>
            <w:vAlign w:val="center"/>
          </w:tcPr>
          <w:p w:rsidR="001B6709" w:rsidRDefault="00FE052B">
            <w:pPr>
              <w:jc w:val="left"/>
            </w:pPr>
            <w:r>
              <w:rPr>
                <w:color w:val="000000"/>
                <w:sz w:val="24"/>
                <w:szCs w:val="24"/>
              </w:rPr>
              <w:t>过去三个月</w:t>
            </w:r>
          </w:p>
        </w:tc>
        <w:tc>
          <w:tcPr>
            <w:tcW w:w="1045" w:type="dxa"/>
            <w:vAlign w:val="center"/>
          </w:tcPr>
          <w:p w:rsidR="001B6709" w:rsidRDefault="00FE052B">
            <w:pPr>
              <w:jc w:val="center"/>
            </w:pPr>
            <w:r>
              <w:rPr>
                <w:color w:val="000000"/>
                <w:sz w:val="24"/>
                <w:szCs w:val="24"/>
              </w:rPr>
              <w:t>0.99%</w:t>
            </w:r>
          </w:p>
        </w:tc>
        <w:tc>
          <w:tcPr>
            <w:tcW w:w="1344" w:type="dxa"/>
            <w:vAlign w:val="center"/>
          </w:tcPr>
          <w:p w:rsidR="001B6709" w:rsidRDefault="00FE052B">
            <w:pPr>
              <w:jc w:val="center"/>
            </w:pPr>
            <w:r>
              <w:rPr>
                <w:color w:val="000000"/>
                <w:sz w:val="24"/>
                <w:szCs w:val="24"/>
              </w:rPr>
              <w:t>0.04%</w:t>
            </w:r>
          </w:p>
        </w:tc>
        <w:tc>
          <w:tcPr>
            <w:tcW w:w="1194" w:type="dxa"/>
            <w:vAlign w:val="center"/>
          </w:tcPr>
          <w:p w:rsidR="001B6709" w:rsidRDefault="00FE052B">
            <w:pPr>
              <w:jc w:val="center"/>
            </w:pPr>
            <w:r>
              <w:rPr>
                <w:color w:val="000000"/>
                <w:sz w:val="24"/>
                <w:szCs w:val="24"/>
              </w:rPr>
              <w:t>0.41%</w:t>
            </w:r>
          </w:p>
        </w:tc>
        <w:tc>
          <w:tcPr>
            <w:tcW w:w="1492" w:type="dxa"/>
            <w:vAlign w:val="center"/>
          </w:tcPr>
          <w:p w:rsidR="001B6709" w:rsidRDefault="00FE052B">
            <w:pPr>
              <w:jc w:val="center"/>
            </w:pPr>
            <w:r>
              <w:rPr>
                <w:color w:val="000000"/>
                <w:sz w:val="24"/>
                <w:szCs w:val="24"/>
              </w:rPr>
              <w:t>0.03%</w:t>
            </w:r>
          </w:p>
        </w:tc>
        <w:tc>
          <w:tcPr>
            <w:tcW w:w="1194" w:type="dxa"/>
            <w:vAlign w:val="center"/>
          </w:tcPr>
          <w:p w:rsidR="001B6709" w:rsidRDefault="00FE052B">
            <w:pPr>
              <w:jc w:val="center"/>
            </w:pPr>
            <w:r>
              <w:rPr>
                <w:color w:val="000000"/>
                <w:sz w:val="24"/>
                <w:szCs w:val="24"/>
              </w:rPr>
              <w:t>0.58%</w:t>
            </w:r>
          </w:p>
        </w:tc>
        <w:tc>
          <w:tcPr>
            <w:tcW w:w="898" w:type="dxa"/>
            <w:vAlign w:val="center"/>
          </w:tcPr>
          <w:p w:rsidR="001B6709" w:rsidRDefault="00FE052B">
            <w:pPr>
              <w:jc w:val="center"/>
            </w:pPr>
            <w:r>
              <w:rPr>
                <w:color w:val="000000"/>
                <w:sz w:val="24"/>
                <w:szCs w:val="24"/>
              </w:rPr>
              <w:t>0.01%</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交银施罗德信用添利债券证券投资基金（</w:t>
      </w:r>
      <w:r w:rsidRPr="00414345">
        <w:rPr>
          <w:color w:val="000000"/>
          <w:sz w:val="24"/>
          <w:szCs w:val="24"/>
        </w:rPr>
        <w:t>LOF</w:t>
      </w:r>
      <w:r w:rsidRPr="00414345">
        <w:rPr>
          <w:color w:val="000000"/>
          <w:sz w:val="24"/>
          <w:szCs w:val="24"/>
        </w:rPr>
        <w:t>）</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2011</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1</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27</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2019</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9</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30</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957594" w:rsidRPr="00414345" w:rsidRDefault="00957594" w:rsidP="00C15CAC">
      <w:pPr>
        <w:tabs>
          <w:tab w:val="left" w:pos="1800"/>
        </w:tabs>
        <w:spacing w:before="29" w:line="288" w:lineRule="auto"/>
        <w:rPr>
          <w:color w:val="000000"/>
          <w:sz w:val="24"/>
          <w:szCs w:val="24"/>
        </w:rPr>
      </w:pP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lastRenderedPageBreak/>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1B6709">
        <w:trPr>
          <w:jc w:val="center"/>
        </w:trPr>
        <w:tc>
          <w:tcPr>
            <w:tcW w:w="846" w:type="dxa"/>
            <w:vAlign w:val="center"/>
          </w:tcPr>
          <w:p w:rsidR="001B6709" w:rsidRDefault="00FE052B">
            <w:pPr>
              <w:jc w:val="center"/>
            </w:pPr>
            <w:r>
              <w:rPr>
                <w:color w:val="000000"/>
                <w:sz w:val="24"/>
                <w:szCs w:val="24"/>
              </w:rPr>
              <w:t>唐赟</w:t>
            </w:r>
          </w:p>
        </w:tc>
        <w:tc>
          <w:tcPr>
            <w:tcW w:w="845" w:type="dxa"/>
            <w:vAlign w:val="center"/>
          </w:tcPr>
          <w:p w:rsidR="001B6709" w:rsidRDefault="00FE052B">
            <w:pPr>
              <w:jc w:val="center"/>
            </w:pPr>
            <w:r>
              <w:rPr>
                <w:color w:val="000000"/>
                <w:sz w:val="24"/>
                <w:szCs w:val="24"/>
              </w:rPr>
              <w:t>交银信用添利债券</w:t>
            </w:r>
            <w:r>
              <w:rPr>
                <w:color w:val="000000"/>
                <w:sz w:val="24"/>
                <w:szCs w:val="24"/>
              </w:rPr>
              <w:t>(LOF)</w:t>
            </w:r>
            <w:r>
              <w:rPr>
                <w:color w:val="000000"/>
                <w:sz w:val="24"/>
                <w:szCs w:val="24"/>
              </w:rPr>
              <w:t>、交银双利债券、交银双轮动债券、交银裕通纯债债券、交银安心收益债券、交银荣鑫灵活配置混合的基金经理</w:t>
            </w:r>
          </w:p>
        </w:tc>
        <w:tc>
          <w:tcPr>
            <w:tcW w:w="1549" w:type="dxa"/>
            <w:vAlign w:val="center"/>
          </w:tcPr>
          <w:p w:rsidR="001B6709" w:rsidRDefault="00FE052B">
            <w:pPr>
              <w:jc w:val="center"/>
            </w:pPr>
            <w:r>
              <w:rPr>
                <w:color w:val="000000"/>
                <w:sz w:val="24"/>
                <w:szCs w:val="24"/>
              </w:rPr>
              <w:t>2015-08-04</w:t>
            </w:r>
          </w:p>
        </w:tc>
        <w:tc>
          <w:tcPr>
            <w:tcW w:w="1548" w:type="dxa"/>
            <w:vAlign w:val="center"/>
          </w:tcPr>
          <w:p w:rsidR="001B6709" w:rsidRDefault="00FE052B">
            <w:pPr>
              <w:jc w:val="center"/>
            </w:pPr>
            <w:r>
              <w:rPr>
                <w:color w:val="000000"/>
                <w:sz w:val="24"/>
                <w:szCs w:val="24"/>
              </w:rPr>
              <w:t>-</w:t>
            </w:r>
          </w:p>
        </w:tc>
        <w:tc>
          <w:tcPr>
            <w:tcW w:w="1407" w:type="dxa"/>
            <w:vAlign w:val="center"/>
          </w:tcPr>
          <w:p w:rsidR="001B6709" w:rsidRDefault="00FE052B">
            <w:pPr>
              <w:jc w:val="center"/>
            </w:pPr>
            <w:r>
              <w:rPr>
                <w:color w:val="000000"/>
                <w:sz w:val="24"/>
                <w:szCs w:val="24"/>
              </w:rPr>
              <w:t>9</w:t>
            </w:r>
            <w:r>
              <w:rPr>
                <w:color w:val="000000"/>
                <w:sz w:val="24"/>
                <w:szCs w:val="24"/>
              </w:rPr>
              <w:t>年</w:t>
            </w:r>
          </w:p>
        </w:tc>
        <w:tc>
          <w:tcPr>
            <w:tcW w:w="2673" w:type="dxa"/>
            <w:vAlign w:val="center"/>
          </w:tcPr>
          <w:p w:rsidR="001B6709" w:rsidRDefault="00FE052B">
            <w:r>
              <w:rPr>
                <w:color w:val="000000"/>
                <w:sz w:val="24"/>
                <w:szCs w:val="24"/>
              </w:rPr>
              <w:t>唐赟先生，香港城市大学电子工程硕士。历任渣打银行环球企业部助理客户经理、平安资产管理公司信用分析员。</w:t>
            </w:r>
            <w:r>
              <w:rPr>
                <w:color w:val="000000"/>
                <w:sz w:val="24"/>
                <w:szCs w:val="24"/>
              </w:rPr>
              <w:t>2012</w:t>
            </w:r>
            <w:r>
              <w:rPr>
                <w:color w:val="000000"/>
                <w:sz w:val="24"/>
                <w:szCs w:val="24"/>
              </w:rPr>
              <w:t>年加入交银施罗德基金管理有限公司，历任固定收益研究员、基金经理助理。</w:t>
            </w:r>
            <w:r>
              <w:rPr>
                <w:color w:val="000000"/>
                <w:sz w:val="24"/>
                <w:szCs w:val="24"/>
              </w:rPr>
              <w:t>2015</w:t>
            </w:r>
            <w:r>
              <w:rPr>
                <w:color w:val="000000"/>
                <w:sz w:val="24"/>
                <w:szCs w:val="24"/>
              </w:rPr>
              <w:t>年</w:t>
            </w:r>
            <w:r>
              <w:rPr>
                <w:color w:val="000000"/>
                <w:sz w:val="24"/>
                <w:szCs w:val="24"/>
              </w:rPr>
              <w:t>11</w:t>
            </w:r>
            <w:r>
              <w:rPr>
                <w:color w:val="000000"/>
                <w:sz w:val="24"/>
                <w:szCs w:val="24"/>
              </w:rPr>
              <w:t>月</w:t>
            </w:r>
            <w:r>
              <w:rPr>
                <w:color w:val="000000"/>
                <w:sz w:val="24"/>
                <w:szCs w:val="24"/>
              </w:rPr>
              <w:t>7</w:t>
            </w:r>
            <w:r>
              <w:rPr>
                <w:color w:val="000000"/>
                <w:sz w:val="24"/>
                <w:szCs w:val="24"/>
              </w:rPr>
              <w:t>日至</w:t>
            </w:r>
            <w:r>
              <w:rPr>
                <w:color w:val="000000"/>
                <w:sz w:val="24"/>
                <w:szCs w:val="24"/>
              </w:rPr>
              <w:t>2018</w:t>
            </w:r>
            <w:r>
              <w:rPr>
                <w:color w:val="000000"/>
                <w:sz w:val="24"/>
                <w:szCs w:val="24"/>
              </w:rPr>
              <w:t>年</w:t>
            </w:r>
            <w:r>
              <w:rPr>
                <w:color w:val="000000"/>
                <w:sz w:val="24"/>
                <w:szCs w:val="24"/>
              </w:rPr>
              <w:t>6</w:t>
            </w:r>
            <w:r>
              <w:rPr>
                <w:color w:val="000000"/>
                <w:sz w:val="24"/>
                <w:szCs w:val="24"/>
              </w:rPr>
              <w:t>月</w:t>
            </w:r>
            <w:r>
              <w:rPr>
                <w:color w:val="000000"/>
                <w:sz w:val="24"/>
                <w:szCs w:val="24"/>
              </w:rPr>
              <w:t>1</w:t>
            </w:r>
            <w:r>
              <w:rPr>
                <w:color w:val="000000"/>
                <w:sz w:val="24"/>
                <w:szCs w:val="24"/>
              </w:rPr>
              <w:t>日担任转型前的交银施罗德荣和保本混合型证券投资基金的基金经理。</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1B6709" w:rsidRDefault="00FE052B">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1B6709" w:rsidRDefault="00FE052B">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1B6709" w:rsidRDefault="00FE052B">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1B6709" w:rsidRDefault="00FE052B">
      <w:pPr>
        <w:spacing w:before="29" w:line="288" w:lineRule="auto"/>
        <w:ind w:firstLineChars="200" w:firstLine="480"/>
        <w:rPr>
          <w:color w:val="000000"/>
          <w:sz w:val="24"/>
          <w:szCs w:val="24"/>
        </w:rPr>
      </w:pPr>
      <w:r>
        <w:rPr>
          <w:color w:val="000000"/>
          <w:sz w:val="24"/>
          <w:szCs w:val="24"/>
        </w:rPr>
        <w:t>本报告期内，债券市场收益率一度持续下行，后小幅回调。七至八月，债市收益率在宽松预期、国内外经济数据低预期以及海外风险的共振下震荡走低。七月初资金面比较宽松，但是由于市场对于通胀和经济回落的预期本来就较强，后资金面边际收紧，令债市全月呈现震荡格局。八月在国内经济数据低于预期，贸易争端以及人民币汇率破</w:t>
      </w:r>
      <w:r>
        <w:rPr>
          <w:color w:val="000000"/>
          <w:sz w:val="24"/>
          <w:szCs w:val="24"/>
        </w:rPr>
        <w:t>7</w:t>
      </w:r>
      <w:r>
        <w:rPr>
          <w:color w:val="000000"/>
          <w:sz w:val="24"/>
          <w:szCs w:val="24"/>
        </w:rPr>
        <w:t>等事件催化下，债券市场收益率呈现快速下行，十年国债一度破</w:t>
      </w:r>
      <w:r>
        <w:rPr>
          <w:color w:val="000000"/>
          <w:sz w:val="24"/>
          <w:szCs w:val="24"/>
        </w:rPr>
        <w:t>3%</w:t>
      </w:r>
      <w:r>
        <w:rPr>
          <w:color w:val="000000"/>
          <w:sz w:val="24"/>
          <w:szCs w:val="24"/>
        </w:rPr>
        <w:t>。九月后，随着稳增长预期升温、通胀担忧加剧以及资金面紧平衡等因素出现，债券市场小幅调整。截至九月底，活跃十年国债收益率自七月初一路走低，八月中旬破</w:t>
      </w:r>
      <w:r>
        <w:rPr>
          <w:color w:val="000000"/>
          <w:sz w:val="24"/>
          <w:szCs w:val="24"/>
        </w:rPr>
        <w:t>3%</w:t>
      </w:r>
      <w:r>
        <w:rPr>
          <w:color w:val="000000"/>
          <w:sz w:val="24"/>
          <w:szCs w:val="24"/>
        </w:rPr>
        <w:t>，后再度小幅上行。可转债方面，三季度受益于权益市场结构性机会，部分可转债存在超额收益，九月随着成长股估值偏高以及债市回调，多数可转债价格小幅回落。</w:t>
      </w:r>
    </w:p>
    <w:p w:rsidR="001B6709" w:rsidRDefault="00FE052B">
      <w:pPr>
        <w:spacing w:before="29" w:line="288" w:lineRule="auto"/>
        <w:ind w:firstLineChars="200" w:firstLine="480"/>
        <w:rPr>
          <w:color w:val="000000"/>
          <w:sz w:val="24"/>
          <w:szCs w:val="24"/>
        </w:rPr>
      </w:pPr>
      <w:r>
        <w:rPr>
          <w:color w:val="000000"/>
          <w:sz w:val="24"/>
          <w:szCs w:val="24"/>
        </w:rPr>
        <w:t>我们认为，三季度债市在前期调整下存在配置机会，因此在季度初期的基金操作中，基金适当提升杠杆，增配了部分收益较好的城投品种。在八月中旬后的回调伊始，考虑到资金成本有所提升，短期经济下行压力被市场充分预期，基金适当减配长久期利率品种，以控制回撤，并在随后的市场回调中适度增配短久期信用品种，以提升底仓的静态收益。可转债方面，基金维持中低仓位，主要关注大市值转债品种和部分一级市场投资机会。</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展望</w:t>
      </w:r>
      <w:r w:rsidRPr="00414345">
        <w:rPr>
          <w:color w:val="000000"/>
          <w:sz w:val="24"/>
          <w:szCs w:val="24"/>
        </w:rPr>
        <w:t>2019</w:t>
      </w:r>
      <w:r w:rsidRPr="00414345">
        <w:rPr>
          <w:color w:val="000000"/>
          <w:sz w:val="24"/>
          <w:szCs w:val="24"/>
        </w:rPr>
        <w:t>年四季度，经济基本面下行压力仍然存在，经济内生企稳动力不强，而尽管宏观逆周期调控政策底线思维，但地产和基建发力始终受到种种限制。不过，我们担心通胀四季度上行压力会边际掣肘货币政策宽松。因此，我们认为四季度债券市场以震荡为主。基金方面，我们将视融资成本及市场收益率变动情况择机增配中短久期信用债品种，并积极关注长端利率的波段交易机会，以期提升基金静态收益。转债方面，我们将关注年底大市值品种机会。</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本基金（各类）份额净值及业绩表现请见</w:t>
      </w:r>
      <w:r w:rsidRPr="00414345">
        <w:rPr>
          <w:color w:val="000000"/>
          <w:sz w:val="24"/>
          <w:szCs w:val="24"/>
        </w:rPr>
        <w:t>“3.1</w:t>
      </w:r>
      <w:r w:rsidRPr="00414345">
        <w:rPr>
          <w:color w:val="000000"/>
          <w:sz w:val="24"/>
          <w:szCs w:val="24"/>
        </w:rPr>
        <w:t>主要财务指标</w:t>
      </w:r>
      <w:r w:rsidRPr="00414345">
        <w:rPr>
          <w:color w:val="000000"/>
          <w:sz w:val="24"/>
          <w:szCs w:val="24"/>
        </w:rPr>
        <w:t xml:space="preserve">” </w:t>
      </w:r>
      <w:r w:rsidRPr="00414345">
        <w:rPr>
          <w:color w:val="000000"/>
          <w:sz w:val="24"/>
          <w:szCs w:val="24"/>
        </w:rPr>
        <w:t>及</w:t>
      </w:r>
      <w:r w:rsidRPr="00414345">
        <w:rPr>
          <w:color w:val="000000"/>
          <w:sz w:val="24"/>
          <w:szCs w:val="24"/>
        </w:rPr>
        <w:t xml:space="preserve">“3.2.1 </w:t>
      </w:r>
      <w:r w:rsidRPr="00414345">
        <w:rPr>
          <w:color w:val="000000"/>
          <w:sz w:val="24"/>
          <w:szCs w:val="24"/>
        </w:rPr>
        <w:t>本报告期基金份额净值增长率及其与同期业绩比较基准收益率的比较</w:t>
      </w:r>
      <w:r w:rsidRPr="00414345">
        <w:rPr>
          <w:color w:val="000000"/>
          <w:sz w:val="24"/>
          <w:szCs w:val="24"/>
        </w:rPr>
        <w:t>”</w:t>
      </w:r>
      <w:r w:rsidRPr="00414345">
        <w:rPr>
          <w:color w:val="000000"/>
          <w:sz w:val="24"/>
          <w:szCs w:val="24"/>
        </w:rPr>
        <w:t>部分披露。</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4061AC" w:rsidRPr="00414345"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p w:rsidR="006B5F69" w:rsidRPr="007B5F21" w:rsidRDefault="009C1009" w:rsidP="009C1009">
      <w:pPr>
        <w:autoSpaceDE w:val="0"/>
        <w:autoSpaceDN w:val="0"/>
        <w:adjustRightInd w:val="0"/>
        <w:spacing w:line="360" w:lineRule="auto"/>
        <w:jc w:val="right"/>
        <w:rPr>
          <w:rFonts w:eastAsiaTheme="minorEastAsia"/>
          <w:b/>
          <w:color w:val="000000" w:themeColor="text1"/>
          <w:kern w:val="0"/>
          <w:sz w:val="24"/>
          <w:szCs w:val="24"/>
        </w:rPr>
      </w:pPr>
      <w:r w:rsidRPr="009C1009">
        <w:rPr>
          <w:rFonts w:hint="eastAsia"/>
          <w:color w:val="000000"/>
          <w:kern w:val="0"/>
        </w:rPr>
        <w:t>金额单位：人民币元</w:t>
      </w:r>
    </w:p>
    <w:tbl>
      <w:tblPr>
        <w:tblStyle w:val="af7"/>
        <w:tblW w:w="8897" w:type="dxa"/>
        <w:tblInd w:w="108" w:type="dxa"/>
        <w:tblLayout w:type="fixed"/>
        <w:tblLook w:val="04A0" w:firstRow="1" w:lastRow="0" w:firstColumn="1" w:lastColumn="0" w:noHBand="0" w:noVBand="1"/>
      </w:tblPr>
      <w:tblGrid>
        <w:gridCol w:w="720"/>
        <w:gridCol w:w="2682"/>
        <w:gridCol w:w="2552"/>
        <w:gridCol w:w="2943"/>
      </w:tblGrid>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68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p>
        </w:tc>
        <w:tc>
          <w:tcPr>
            <w:tcW w:w="2943"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0018138B">
              <w:rPr>
                <w:rFonts w:eastAsiaTheme="minorEastAsia" w:hint="eastAsia"/>
                <w:color w:val="000000" w:themeColor="text1"/>
                <w:sz w:val="24"/>
                <w:szCs w:val="24"/>
              </w:rPr>
              <w:t>(</w:t>
            </w:r>
            <w:r w:rsidR="0018138B">
              <w:rPr>
                <w:rFonts w:eastAsiaTheme="minorEastAsia"/>
                <w:color w:val="000000" w:themeColor="text1"/>
                <w:sz w:val="24"/>
                <w:szCs w:val="24"/>
              </w:rPr>
              <w:t>%</w:t>
            </w:r>
            <w:r w:rsidR="0018138B">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5,622,715.26</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0.20</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5,622,715.26</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0.20</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2,473,786,714.00</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87.21</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2,473,786,714.00</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87.21</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682"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269,300,708.95</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9.49</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682"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52,414,895.99</w:t>
            </w:r>
          </w:p>
        </w:tc>
        <w:tc>
          <w:tcPr>
            <w:tcW w:w="2943"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1.85</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35,514,122.78</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1.25</w:t>
            </w:r>
          </w:p>
        </w:tc>
      </w:tr>
      <w:tr w:rsidR="00BF0019" w:rsidRPr="007B5F21" w:rsidTr="00487A40">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682"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2,836,639,156.98</w:t>
            </w:r>
          </w:p>
        </w:tc>
        <w:tc>
          <w:tcPr>
            <w:tcW w:w="2943"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Default="00F51C4E" w:rsidP="00F51C4E">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7B2639" w:rsidRPr="007B2639" w:rsidRDefault="009C1009" w:rsidP="009C1009">
      <w:pPr>
        <w:jc w:val="right"/>
        <w:rPr>
          <w:sz w:val="24"/>
        </w:rPr>
      </w:pPr>
      <w:r w:rsidRPr="009C1009">
        <w:rPr>
          <w:rFonts w:eastAsiaTheme="minorEastAsia" w:hint="eastAsia"/>
          <w:color w:val="000000" w:themeColor="text1"/>
          <w:kern w:val="0"/>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B11F31" w:rsidP="00C15CAC">
            <w:pPr>
              <w:adjustRightInd w:val="0"/>
              <w:snapToGrid w:val="0"/>
              <w:spacing w:before="29" w:line="288" w:lineRule="auto"/>
              <w:jc w:val="center"/>
              <w:rPr>
                <w:sz w:val="24"/>
                <w:szCs w:val="24"/>
              </w:rPr>
            </w:pPr>
            <w:r>
              <w:rPr>
                <w:sz w:val="24"/>
                <w:szCs w:val="24"/>
              </w:rPr>
              <w:t>公允价值</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5,622,715.26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0.25</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5,622,715.26</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0.25</w:t>
            </w:r>
          </w:p>
        </w:tc>
      </w:tr>
    </w:tbl>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1B6709">
        <w:trPr>
          <w:jc w:val="center"/>
        </w:trPr>
        <w:tc>
          <w:tcPr>
            <w:tcW w:w="855" w:type="dxa"/>
            <w:vAlign w:val="center"/>
          </w:tcPr>
          <w:p w:rsidR="001B6709" w:rsidRDefault="00FE052B">
            <w:pPr>
              <w:jc w:val="center"/>
            </w:pPr>
            <w:r>
              <w:rPr>
                <w:color w:val="000000"/>
                <w:sz w:val="24"/>
                <w:szCs w:val="24"/>
              </w:rPr>
              <w:t>1</w:t>
            </w:r>
          </w:p>
        </w:tc>
        <w:tc>
          <w:tcPr>
            <w:tcW w:w="1334" w:type="dxa"/>
            <w:vAlign w:val="center"/>
          </w:tcPr>
          <w:p w:rsidR="001B6709" w:rsidRDefault="00FE052B">
            <w:pPr>
              <w:jc w:val="center"/>
            </w:pPr>
            <w:r>
              <w:rPr>
                <w:color w:val="000000"/>
                <w:sz w:val="24"/>
                <w:szCs w:val="24"/>
              </w:rPr>
              <w:t>601012</w:t>
            </w:r>
          </w:p>
        </w:tc>
        <w:tc>
          <w:tcPr>
            <w:tcW w:w="1777" w:type="dxa"/>
            <w:vAlign w:val="center"/>
          </w:tcPr>
          <w:p w:rsidR="001B6709" w:rsidRDefault="00FE052B">
            <w:pPr>
              <w:jc w:val="center"/>
            </w:pPr>
            <w:r>
              <w:rPr>
                <w:color w:val="000000"/>
                <w:sz w:val="24"/>
                <w:szCs w:val="24"/>
              </w:rPr>
              <w:t>隆基股份</w:t>
            </w:r>
          </w:p>
        </w:tc>
        <w:tc>
          <w:tcPr>
            <w:tcW w:w="1334" w:type="dxa"/>
            <w:vAlign w:val="center"/>
          </w:tcPr>
          <w:p w:rsidR="001B6709" w:rsidRDefault="00FE052B">
            <w:pPr>
              <w:jc w:val="right"/>
            </w:pPr>
            <w:r>
              <w:rPr>
                <w:color w:val="000000"/>
                <w:sz w:val="24"/>
                <w:szCs w:val="24"/>
              </w:rPr>
              <w:t>214,362</w:t>
            </w:r>
          </w:p>
        </w:tc>
        <w:tc>
          <w:tcPr>
            <w:tcW w:w="1924" w:type="dxa"/>
            <w:vAlign w:val="center"/>
          </w:tcPr>
          <w:p w:rsidR="001B6709" w:rsidRDefault="00FE052B">
            <w:pPr>
              <w:jc w:val="right"/>
            </w:pPr>
            <w:r>
              <w:rPr>
                <w:color w:val="000000"/>
                <w:sz w:val="24"/>
                <w:szCs w:val="24"/>
              </w:rPr>
              <w:t>5,622,715.26</w:t>
            </w:r>
          </w:p>
        </w:tc>
        <w:tc>
          <w:tcPr>
            <w:tcW w:w="1644" w:type="dxa"/>
            <w:vAlign w:val="center"/>
          </w:tcPr>
          <w:p w:rsidR="001B6709" w:rsidRDefault="00FE052B">
            <w:pPr>
              <w:jc w:val="right"/>
            </w:pPr>
            <w:r>
              <w:rPr>
                <w:color w:val="000000"/>
                <w:sz w:val="24"/>
                <w:szCs w:val="24"/>
              </w:rPr>
              <w:t>0.25</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R="00CE7169" w:rsidRPr="00CE7169" w:rsidRDefault="009C1009" w:rsidP="009C100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金额单位：人民币元</w:t>
      </w:r>
    </w:p>
    <w:tbl>
      <w:tblPr>
        <w:tblStyle w:val="af7"/>
        <w:tblW w:w="8868" w:type="dxa"/>
        <w:jc w:val="center"/>
        <w:tblLayout w:type="fixed"/>
        <w:tblLook w:val="04A0" w:firstRow="1" w:lastRow="0" w:firstColumn="1" w:lastColumn="0" w:noHBand="0" w:noVBand="1"/>
      </w:tblPr>
      <w:tblGrid>
        <w:gridCol w:w="828"/>
        <w:gridCol w:w="3302"/>
        <w:gridCol w:w="2987"/>
        <w:gridCol w:w="1751"/>
      </w:tblGrid>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序号</w:t>
            </w:r>
          </w:p>
        </w:tc>
        <w:tc>
          <w:tcPr>
            <w:tcW w:w="3302"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债券品种</w:t>
            </w:r>
          </w:p>
        </w:tc>
        <w:tc>
          <w:tcPr>
            <w:tcW w:w="2987"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公允价值</w:t>
            </w:r>
          </w:p>
        </w:tc>
        <w:tc>
          <w:tcPr>
            <w:tcW w:w="1751"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占基金资产净值比例</w:t>
            </w:r>
            <w:r w:rsidR="00C47163" w:rsidRPr="00414345">
              <w:rPr>
                <w:color w:val="000000"/>
                <w:sz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1</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国家债券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7,501,235.00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0.34</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2</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央行票据</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3</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金融债券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111,080,156.00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4.99</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其中：政策性金融债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111,080,156.00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4.99</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4</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企业债券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851,481,500.00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38.24</w:t>
            </w:r>
          </w:p>
        </w:tc>
      </w:tr>
      <w:tr w:rsidR="00AC592E" w:rsidRPr="00414345" w:rsidTr="00F323FF">
        <w:trPr>
          <w:jc w:val="center"/>
        </w:trPr>
        <w:tc>
          <w:tcPr>
            <w:tcW w:w="828" w:type="dxa"/>
            <w:vAlign w:val="center"/>
          </w:tcPr>
          <w:p w:rsidR="00AC592E" w:rsidRPr="00414345" w:rsidRDefault="00AC592E" w:rsidP="00C15CAC">
            <w:pPr>
              <w:spacing w:before="29" w:line="288" w:lineRule="auto"/>
              <w:ind w:left="17"/>
              <w:jc w:val="center"/>
              <w:rPr>
                <w:color w:val="000000"/>
                <w:sz w:val="24"/>
                <w:szCs w:val="24"/>
              </w:rPr>
            </w:pPr>
            <w:r w:rsidRPr="00414345">
              <w:rPr>
                <w:color w:val="000000"/>
                <w:sz w:val="24"/>
                <w:szCs w:val="24"/>
              </w:rPr>
              <w:t>5</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企业短期融资</w:t>
            </w:r>
            <w:r w:rsidR="00963F40" w:rsidRPr="00414345">
              <w:rPr>
                <w:color w:val="000000"/>
                <w:sz w:val="24"/>
                <w:szCs w:val="24"/>
              </w:rPr>
              <w:t>券</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712,754,000.00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32.01</w:t>
            </w:r>
          </w:p>
        </w:tc>
      </w:tr>
      <w:tr w:rsidR="00FB41D3" w:rsidRPr="00414345" w:rsidTr="00F323FF">
        <w:trPr>
          <w:jc w:val="center"/>
        </w:trPr>
        <w:tc>
          <w:tcPr>
            <w:tcW w:w="828" w:type="dxa"/>
            <w:vAlign w:val="center"/>
          </w:tcPr>
          <w:p w:rsidR="00FB41D3" w:rsidRPr="00414345" w:rsidRDefault="00FB41D3" w:rsidP="00C15CAC">
            <w:pPr>
              <w:spacing w:before="29" w:line="288" w:lineRule="auto"/>
              <w:ind w:left="17"/>
              <w:jc w:val="center"/>
              <w:rPr>
                <w:color w:val="000000"/>
                <w:sz w:val="24"/>
                <w:szCs w:val="24"/>
              </w:rPr>
            </w:pPr>
            <w:r w:rsidRPr="00414345">
              <w:rPr>
                <w:color w:val="000000"/>
                <w:sz w:val="24"/>
                <w:szCs w:val="24"/>
              </w:rPr>
              <w:t>6</w:t>
            </w:r>
          </w:p>
        </w:tc>
        <w:tc>
          <w:tcPr>
            <w:tcW w:w="3302" w:type="dxa"/>
            <w:vAlign w:val="center"/>
          </w:tcPr>
          <w:p w:rsidR="00FB41D3" w:rsidRPr="00414345" w:rsidRDefault="00FB41D3" w:rsidP="00C15CAC">
            <w:pPr>
              <w:spacing w:before="29" w:line="288" w:lineRule="auto"/>
              <w:ind w:left="17"/>
              <w:jc w:val="left"/>
              <w:rPr>
                <w:color w:val="000000"/>
                <w:sz w:val="24"/>
                <w:szCs w:val="24"/>
              </w:rPr>
            </w:pPr>
            <w:r w:rsidRPr="00414345">
              <w:rPr>
                <w:color w:val="000000"/>
                <w:sz w:val="24"/>
                <w:szCs w:val="24"/>
              </w:rPr>
              <w:t>中期票据</w:t>
            </w:r>
          </w:p>
        </w:tc>
        <w:tc>
          <w:tcPr>
            <w:tcW w:w="2987"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663,287,000.00</w:t>
            </w:r>
          </w:p>
        </w:tc>
        <w:tc>
          <w:tcPr>
            <w:tcW w:w="1751" w:type="dxa"/>
            <w:vAlign w:val="center"/>
          </w:tcPr>
          <w:p w:rsidR="00FB41D3" w:rsidRPr="00414345" w:rsidRDefault="00FB41D3" w:rsidP="00C15CAC">
            <w:pPr>
              <w:spacing w:before="29" w:line="288" w:lineRule="auto"/>
              <w:ind w:left="17"/>
              <w:jc w:val="right"/>
              <w:rPr>
                <w:color w:val="000000"/>
                <w:sz w:val="24"/>
                <w:szCs w:val="24"/>
              </w:rPr>
            </w:pPr>
            <w:r w:rsidRPr="00414345">
              <w:rPr>
                <w:color w:val="000000"/>
                <w:sz w:val="24"/>
                <w:szCs w:val="24"/>
              </w:rPr>
              <w:t>29.78</w:t>
            </w:r>
          </w:p>
        </w:tc>
      </w:tr>
      <w:tr w:rsidR="00AC592E" w:rsidRPr="00414345" w:rsidTr="00F323FF">
        <w:trPr>
          <w:jc w:val="center"/>
        </w:trPr>
        <w:tc>
          <w:tcPr>
            <w:tcW w:w="828" w:type="dxa"/>
            <w:vAlign w:val="center"/>
          </w:tcPr>
          <w:p w:rsidR="00AC592E" w:rsidRPr="00414345" w:rsidRDefault="00FB41D3" w:rsidP="00C15CAC">
            <w:pPr>
              <w:spacing w:before="29" w:line="288" w:lineRule="auto"/>
              <w:ind w:left="17"/>
              <w:jc w:val="center"/>
              <w:rPr>
                <w:color w:val="000000"/>
                <w:sz w:val="24"/>
                <w:szCs w:val="24"/>
              </w:rPr>
            </w:pPr>
            <w:r w:rsidRPr="00414345">
              <w:rPr>
                <w:color w:val="000000"/>
                <w:sz w:val="24"/>
                <w:szCs w:val="24"/>
              </w:rPr>
              <w:t>7</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可转债</w:t>
            </w:r>
            <w:r w:rsidR="00AB6E79">
              <w:rPr>
                <w:rFonts w:hint="eastAsia"/>
                <w:sz w:val="24"/>
              </w:rPr>
              <w:t>（可交换债）</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127,682,823.00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5.73</w:t>
            </w:r>
          </w:p>
        </w:tc>
      </w:tr>
      <w:tr w:rsidR="00F323FF" w:rsidRPr="00414345" w:rsidTr="0006711A">
        <w:trPr>
          <w:jc w:val="center"/>
        </w:trPr>
        <w:tc>
          <w:tcPr>
            <w:tcW w:w="828" w:type="dxa"/>
            <w:vAlign w:val="center"/>
          </w:tcPr>
          <w:p w:rsidR="00F323FF" w:rsidRPr="007A70C2" w:rsidRDefault="00F323FF" w:rsidP="0006711A">
            <w:pPr>
              <w:spacing w:before="29" w:line="288" w:lineRule="auto"/>
              <w:ind w:left="17"/>
              <w:jc w:val="center"/>
              <w:rPr>
                <w:color w:val="000000"/>
                <w:sz w:val="24"/>
                <w:szCs w:val="24"/>
              </w:rPr>
            </w:pPr>
            <w:r w:rsidRPr="007A70C2">
              <w:rPr>
                <w:rFonts w:hint="eastAsia"/>
                <w:color w:val="000000"/>
                <w:sz w:val="24"/>
                <w:szCs w:val="24"/>
              </w:rPr>
              <w:t>8</w:t>
            </w:r>
          </w:p>
        </w:tc>
        <w:tc>
          <w:tcPr>
            <w:tcW w:w="3302" w:type="dxa"/>
            <w:vAlign w:val="center"/>
          </w:tcPr>
          <w:p w:rsidR="00F323FF" w:rsidRPr="007A70C2" w:rsidRDefault="00F323FF" w:rsidP="0006711A">
            <w:pPr>
              <w:spacing w:before="29" w:line="288" w:lineRule="auto"/>
              <w:ind w:left="17"/>
              <w:jc w:val="left"/>
              <w:rPr>
                <w:color w:val="000000"/>
                <w:sz w:val="24"/>
                <w:szCs w:val="24"/>
              </w:rPr>
            </w:pPr>
            <w:r w:rsidRPr="007A70C2">
              <w:rPr>
                <w:rFonts w:hint="eastAsia"/>
                <w:color w:val="000000"/>
                <w:sz w:val="24"/>
                <w:szCs w:val="24"/>
              </w:rPr>
              <w:t>同业存单</w:t>
            </w:r>
          </w:p>
        </w:tc>
        <w:tc>
          <w:tcPr>
            <w:tcW w:w="2987"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c>
          <w:tcPr>
            <w:tcW w:w="1751" w:type="dxa"/>
            <w:vAlign w:val="center"/>
          </w:tcPr>
          <w:p w:rsidR="00F323FF" w:rsidRPr="007A70C2" w:rsidRDefault="00F323FF" w:rsidP="0006711A">
            <w:pPr>
              <w:spacing w:before="29" w:line="288" w:lineRule="auto"/>
              <w:ind w:left="17"/>
              <w:jc w:val="right"/>
              <w:rPr>
                <w:color w:val="000000"/>
                <w:sz w:val="24"/>
                <w:szCs w:val="24"/>
              </w:rPr>
            </w:pPr>
            <w:r w:rsidRPr="007A70C2">
              <w:rPr>
                <w:rFonts w:hint="eastAsia"/>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9</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其他</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w:t>
            </w:r>
          </w:p>
        </w:tc>
      </w:tr>
      <w:tr w:rsidR="00AC592E" w:rsidRPr="00414345" w:rsidTr="00F323FF">
        <w:trPr>
          <w:jc w:val="center"/>
        </w:trPr>
        <w:tc>
          <w:tcPr>
            <w:tcW w:w="828" w:type="dxa"/>
            <w:vAlign w:val="center"/>
          </w:tcPr>
          <w:p w:rsidR="00AC592E" w:rsidRPr="00414345" w:rsidRDefault="00AC592E" w:rsidP="00F323FF">
            <w:pPr>
              <w:spacing w:before="29" w:line="288" w:lineRule="auto"/>
              <w:ind w:left="17"/>
              <w:jc w:val="center"/>
              <w:rPr>
                <w:color w:val="000000"/>
                <w:sz w:val="24"/>
                <w:szCs w:val="24"/>
              </w:rPr>
            </w:pPr>
            <w:r w:rsidRPr="00414345">
              <w:rPr>
                <w:color w:val="000000"/>
                <w:sz w:val="24"/>
                <w:szCs w:val="24"/>
              </w:rPr>
              <w:t>10</w:t>
            </w:r>
          </w:p>
        </w:tc>
        <w:tc>
          <w:tcPr>
            <w:tcW w:w="3302" w:type="dxa"/>
            <w:vAlign w:val="center"/>
          </w:tcPr>
          <w:p w:rsidR="00AC592E" w:rsidRPr="00414345" w:rsidRDefault="00AC592E" w:rsidP="00C15CAC">
            <w:pPr>
              <w:spacing w:before="29" w:line="288" w:lineRule="auto"/>
              <w:ind w:left="17"/>
              <w:jc w:val="left"/>
              <w:rPr>
                <w:color w:val="000000"/>
                <w:sz w:val="24"/>
                <w:szCs w:val="24"/>
              </w:rPr>
            </w:pPr>
            <w:r w:rsidRPr="00414345">
              <w:rPr>
                <w:color w:val="000000"/>
                <w:sz w:val="24"/>
                <w:szCs w:val="24"/>
              </w:rPr>
              <w:t>合计</w:t>
            </w:r>
          </w:p>
        </w:tc>
        <w:tc>
          <w:tcPr>
            <w:tcW w:w="2987"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2,473,786,714.00</w:t>
            </w:r>
          </w:p>
        </w:tc>
        <w:tc>
          <w:tcPr>
            <w:tcW w:w="1751" w:type="dxa"/>
            <w:vAlign w:val="center"/>
          </w:tcPr>
          <w:p w:rsidR="00AC592E" w:rsidRPr="00414345" w:rsidRDefault="00AC592E" w:rsidP="00C15CAC">
            <w:pPr>
              <w:spacing w:before="29" w:line="288" w:lineRule="auto"/>
              <w:ind w:left="17"/>
              <w:jc w:val="right"/>
              <w:rPr>
                <w:color w:val="000000"/>
                <w:sz w:val="24"/>
                <w:szCs w:val="24"/>
              </w:rPr>
            </w:pPr>
            <w:r w:rsidRPr="00414345">
              <w:rPr>
                <w:color w:val="000000"/>
                <w:sz w:val="24"/>
                <w:szCs w:val="24"/>
              </w:rPr>
              <w:t>111.08</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5B4C8F" w:rsidRPr="005B4C8F" w:rsidRDefault="009C1009" w:rsidP="009C1009">
      <w:pPr>
        <w:autoSpaceDE w:val="0"/>
        <w:autoSpaceDN w:val="0"/>
        <w:adjustRightInd w:val="0"/>
        <w:spacing w:before="29" w:line="288" w:lineRule="auto"/>
        <w:jc w:val="right"/>
        <w:rPr>
          <w:bCs/>
          <w:color w:val="000000"/>
          <w:kern w:val="0"/>
          <w:sz w:val="24"/>
          <w:szCs w:val="24"/>
        </w:rPr>
      </w:pPr>
      <w:r w:rsidRPr="009C1009">
        <w:rPr>
          <w:rFonts w:hint="eastAsia"/>
          <w:bCs/>
          <w:color w:val="000000"/>
          <w:kern w:val="0"/>
          <w:sz w:val="24"/>
          <w:szCs w:val="24"/>
        </w:rPr>
        <w:t>金额单位：人民币元</w:t>
      </w:r>
    </w:p>
    <w:tbl>
      <w:tblPr>
        <w:tblStyle w:val="af7"/>
        <w:tblW w:w="8868" w:type="dxa"/>
        <w:jc w:val="center"/>
        <w:tblLayout w:type="fixed"/>
        <w:tblCellMar>
          <w:top w:w="57" w:type="dxa"/>
          <w:bottom w:w="57" w:type="dxa"/>
        </w:tblCellMar>
        <w:tblLook w:val="04A0" w:firstRow="1" w:lastRow="0" w:firstColumn="1" w:lastColumn="0" w:noHBand="0" w:noVBand="1"/>
      </w:tblPr>
      <w:tblGrid>
        <w:gridCol w:w="850"/>
        <w:gridCol w:w="1475"/>
        <w:gridCol w:w="1769"/>
        <w:gridCol w:w="1387"/>
        <w:gridCol w:w="2150"/>
        <w:gridCol w:w="1237"/>
      </w:tblGrid>
      <w:tr w:rsidR="00D57B7C" w:rsidRPr="00414345" w:rsidTr="00A324F4">
        <w:trPr>
          <w:jc w:val="center"/>
        </w:trPr>
        <w:tc>
          <w:tcPr>
            <w:tcW w:w="81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41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70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334"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数量</w:t>
            </w:r>
            <w:r w:rsidR="009D1BD9">
              <w:rPr>
                <w:rFonts w:hint="eastAsia"/>
                <w:color w:val="000000"/>
                <w:sz w:val="24"/>
              </w:rPr>
              <w:t>(</w:t>
            </w:r>
            <w:r w:rsidR="009D1BD9">
              <w:rPr>
                <w:rFonts w:hint="eastAsia"/>
                <w:color w:val="000000"/>
                <w:sz w:val="24"/>
              </w:rPr>
              <w:t>张</w:t>
            </w:r>
            <w:r w:rsidR="009D1BD9">
              <w:rPr>
                <w:color w:val="000000"/>
                <w:sz w:val="24"/>
              </w:rPr>
              <w:t>)</w:t>
            </w:r>
          </w:p>
        </w:tc>
        <w:tc>
          <w:tcPr>
            <w:tcW w:w="206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p>
        </w:tc>
        <w:tc>
          <w:tcPr>
            <w:tcW w:w="1190"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3B3494" w:rsidRPr="00414345">
              <w:rPr>
                <w:color w:val="000000"/>
                <w:sz w:val="24"/>
              </w:rPr>
              <w:t>（％）</w:t>
            </w:r>
          </w:p>
        </w:tc>
      </w:tr>
      <w:tr w:rsidR="001B6709">
        <w:trPr>
          <w:jc w:val="center"/>
        </w:trPr>
        <w:tc>
          <w:tcPr>
            <w:tcW w:w="850" w:type="dxa"/>
            <w:vAlign w:val="center"/>
          </w:tcPr>
          <w:p w:rsidR="001B6709" w:rsidRDefault="00FE052B">
            <w:pPr>
              <w:jc w:val="center"/>
            </w:pPr>
            <w:r>
              <w:rPr>
                <w:color w:val="000000"/>
                <w:sz w:val="24"/>
                <w:szCs w:val="24"/>
              </w:rPr>
              <w:t>1</w:t>
            </w:r>
          </w:p>
        </w:tc>
        <w:tc>
          <w:tcPr>
            <w:tcW w:w="1475" w:type="dxa"/>
            <w:vAlign w:val="center"/>
          </w:tcPr>
          <w:p w:rsidR="001B6709" w:rsidRDefault="00FE052B">
            <w:pPr>
              <w:jc w:val="center"/>
            </w:pPr>
            <w:r>
              <w:rPr>
                <w:color w:val="000000"/>
                <w:sz w:val="24"/>
                <w:szCs w:val="24"/>
              </w:rPr>
              <w:t>018007</w:t>
            </w:r>
          </w:p>
        </w:tc>
        <w:tc>
          <w:tcPr>
            <w:tcW w:w="1769" w:type="dxa"/>
            <w:vAlign w:val="center"/>
          </w:tcPr>
          <w:p w:rsidR="001B6709" w:rsidRDefault="00FE052B">
            <w:pPr>
              <w:jc w:val="center"/>
            </w:pPr>
            <w:r>
              <w:rPr>
                <w:color w:val="000000"/>
                <w:sz w:val="24"/>
                <w:szCs w:val="24"/>
              </w:rPr>
              <w:t>国开</w:t>
            </w:r>
            <w:r>
              <w:rPr>
                <w:color w:val="000000"/>
                <w:sz w:val="24"/>
                <w:szCs w:val="24"/>
              </w:rPr>
              <w:t>1801</w:t>
            </w:r>
          </w:p>
        </w:tc>
        <w:tc>
          <w:tcPr>
            <w:tcW w:w="1387" w:type="dxa"/>
            <w:vAlign w:val="center"/>
          </w:tcPr>
          <w:p w:rsidR="001B6709" w:rsidRDefault="00FE052B">
            <w:pPr>
              <w:jc w:val="right"/>
            </w:pPr>
            <w:r>
              <w:rPr>
                <w:color w:val="000000"/>
                <w:sz w:val="24"/>
                <w:szCs w:val="24"/>
              </w:rPr>
              <w:t>1,097,630</w:t>
            </w:r>
          </w:p>
        </w:tc>
        <w:tc>
          <w:tcPr>
            <w:tcW w:w="2150" w:type="dxa"/>
            <w:vAlign w:val="center"/>
          </w:tcPr>
          <w:p w:rsidR="001B6709" w:rsidRDefault="00FE052B">
            <w:pPr>
              <w:jc w:val="right"/>
            </w:pPr>
            <w:r>
              <w:rPr>
                <w:color w:val="000000"/>
                <w:sz w:val="24"/>
                <w:szCs w:val="24"/>
              </w:rPr>
              <w:t>111,080,156.00</w:t>
            </w:r>
          </w:p>
        </w:tc>
        <w:tc>
          <w:tcPr>
            <w:tcW w:w="1237" w:type="dxa"/>
            <w:vAlign w:val="center"/>
          </w:tcPr>
          <w:p w:rsidR="001B6709" w:rsidRDefault="00FE052B">
            <w:pPr>
              <w:jc w:val="right"/>
            </w:pPr>
            <w:r>
              <w:rPr>
                <w:color w:val="000000"/>
                <w:sz w:val="24"/>
                <w:szCs w:val="24"/>
              </w:rPr>
              <w:t>4.99</w:t>
            </w:r>
          </w:p>
        </w:tc>
      </w:tr>
      <w:tr w:rsidR="001B6709">
        <w:trPr>
          <w:jc w:val="center"/>
        </w:trPr>
        <w:tc>
          <w:tcPr>
            <w:tcW w:w="850" w:type="dxa"/>
            <w:vAlign w:val="center"/>
          </w:tcPr>
          <w:p w:rsidR="001B6709" w:rsidRDefault="00FE052B">
            <w:pPr>
              <w:jc w:val="center"/>
            </w:pPr>
            <w:r>
              <w:rPr>
                <w:color w:val="000000"/>
                <w:sz w:val="24"/>
                <w:szCs w:val="24"/>
              </w:rPr>
              <w:t>2</w:t>
            </w:r>
          </w:p>
        </w:tc>
        <w:tc>
          <w:tcPr>
            <w:tcW w:w="1475" w:type="dxa"/>
            <w:vAlign w:val="center"/>
          </w:tcPr>
          <w:p w:rsidR="001B6709" w:rsidRDefault="00FE052B">
            <w:pPr>
              <w:jc w:val="center"/>
            </w:pPr>
            <w:r>
              <w:rPr>
                <w:color w:val="000000"/>
                <w:sz w:val="24"/>
                <w:szCs w:val="24"/>
              </w:rPr>
              <w:t>124532</w:t>
            </w:r>
          </w:p>
        </w:tc>
        <w:tc>
          <w:tcPr>
            <w:tcW w:w="1769" w:type="dxa"/>
            <w:vAlign w:val="center"/>
          </w:tcPr>
          <w:p w:rsidR="001B6709" w:rsidRDefault="00FE052B">
            <w:pPr>
              <w:jc w:val="center"/>
            </w:pPr>
            <w:r>
              <w:rPr>
                <w:color w:val="000000"/>
                <w:sz w:val="24"/>
                <w:szCs w:val="24"/>
              </w:rPr>
              <w:t>14</w:t>
            </w:r>
            <w:r>
              <w:rPr>
                <w:color w:val="000000"/>
                <w:sz w:val="24"/>
                <w:szCs w:val="24"/>
              </w:rPr>
              <w:t>甘公</w:t>
            </w:r>
            <w:r>
              <w:rPr>
                <w:color w:val="000000"/>
                <w:sz w:val="24"/>
                <w:szCs w:val="24"/>
              </w:rPr>
              <w:t>01</w:t>
            </w:r>
          </w:p>
        </w:tc>
        <w:tc>
          <w:tcPr>
            <w:tcW w:w="1387" w:type="dxa"/>
            <w:vAlign w:val="center"/>
          </w:tcPr>
          <w:p w:rsidR="001B6709" w:rsidRDefault="00FE052B">
            <w:pPr>
              <w:jc w:val="right"/>
            </w:pPr>
            <w:r>
              <w:rPr>
                <w:color w:val="000000"/>
                <w:sz w:val="24"/>
                <w:szCs w:val="24"/>
              </w:rPr>
              <w:t>800,000</w:t>
            </w:r>
          </w:p>
        </w:tc>
        <w:tc>
          <w:tcPr>
            <w:tcW w:w="2150" w:type="dxa"/>
            <w:vAlign w:val="center"/>
          </w:tcPr>
          <w:p w:rsidR="001B6709" w:rsidRDefault="00FE052B">
            <w:pPr>
              <w:jc w:val="right"/>
            </w:pPr>
            <w:r>
              <w:rPr>
                <w:color w:val="000000"/>
                <w:sz w:val="24"/>
                <w:szCs w:val="24"/>
              </w:rPr>
              <w:t>81,208,000.00</w:t>
            </w:r>
          </w:p>
        </w:tc>
        <w:tc>
          <w:tcPr>
            <w:tcW w:w="1237" w:type="dxa"/>
            <w:vAlign w:val="center"/>
          </w:tcPr>
          <w:p w:rsidR="001B6709" w:rsidRDefault="00FE052B">
            <w:pPr>
              <w:jc w:val="right"/>
            </w:pPr>
            <w:r>
              <w:rPr>
                <w:color w:val="000000"/>
                <w:sz w:val="24"/>
                <w:szCs w:val="24"/>
              </w:rPr>
              <w:t>3.65</w:t>
            </w:r>
          </w:p>
        </w:tc>
      </w:tr>
      <w:tr w:rsidR="001B6709">
        <w:trPr>
          <w:jc w:val="center"/>
        </w:trPr>
        <w:tc>
          <w:tcPr>
            <w:tcW w:w="850" w:type="dxa"/>
            <w:vAlign w:val="center"/>
          </w:tcPr>
          <w:p w:rsidR="001B6709" w:rsidRDefault="00FE052B">
            <w:pPr>
              <w:jc w:val="center"/>
            </w:pPr>
            <w:r>
              <w:rPr>
                <w:color w:val="000000"/>
                <w:sz w:val="24"/>
                <w:szCs w:val="24"/>
              </w:rPr>
              <w:t>3</w:t>
            </w:r>
          </w:p>
        </w:tc>
        <w:tc>
          <w:tcPr>
            <w:tcW w:w="1475" w:type="dxa"/>
            <w:vAlign w:val="center"/>
          </w:tcPr>
          <w:p w:rsidR="001B6709" w:rsidRDefault="00FE052B">
            <w:pPr>
              <w:jc w:val="center"/>
            </w:pPr>
            <w:r>
              <w:rPr>
                <w:color w:val="000000"/>
                <w:sz w:val="24"/>
                <w:szCs w:val="24"/>
              </w:rPr>
              <w:t>011900661</w:t>
            </w:r>
          </w:p>
        </w:tc>
        <w:tc>
          <w:tcPr>
            <w:tcW w:w="1769" w:type="dxa"/>
            <w:vAlign w:val="center"/>
          </w:tcPr>
          <w:p w:rsidR="001B6709" w:rsidRDefault="00FE052B">
            <w:pPr>
              <w:jc w:val="center"/>
            </w:pPr>
            <w:r>
              <w:rPr>
                <w:color w:val="000000"/>
                <w:sz w:val="24"/>
                <w:szCs w:val="24"/>
              </w:rPr>
              <w:t>19</w:t>
            </w:r>
            <w:r>
              <w:rPr>
                <w:color w:val="000000"/>
                <w:sz w:val="24"/>
                <w:szCs w:val="24"/>
              </w:rPr>
              <w:t>鲁信</w:t>
            </w:r>
            <w:r>
              <w:rPr>
                <w:color w:val="000000"/>
                <w:sz w:val="24"/>
                <w:szCs w:val="24"/>
              </w:rPr>
              <w:t>SCP001</w:t>
            </w:r>
          </w:p>
        </w:tc>
        <w:tc>
          <w:tcPr>
            <w:tcW w:w="1387" w:type="dxa"/>
            <w:vAlign w:val="center"/>
          </w:tcPr>
          <w:p w:rsidR="001B6709" w:rsidRDefault="00FE052B">
            <w:pPr>
              <w:jc w:val="right"/>
            </w:pPr>
            <w:r>
              <w:rPr>
                <w:color w:val="000000"/>
                <w:sz w:val="24"/>
                <w:szCs w:val="24"/>
              </w:rPr>
              <w:t>800,000</w:t>
            </w:r>
          </w:p>
        </w:tc>
        <w:tc>
          <w:tcPr>
            <w:tcW w:w="2150" w:type="dxa"/>
            <w:vAlign w:val="center"/>
          </w:tcPr>
          <w:p w:rsidR="001B6709" w:rsidRDefault="00FE052B">
            <w:pPr>
              <w:jc w:val="right"/>
            </w:pPr>
            <w:r>
              <w:rPr>
                <w:color w:val="000000"/>
                <w:sz w:val="24"/>
                <w:szCs w:val="24"/>
              </w:rPr>
              <w:t>80,328,000.00</w:t>
            </w:r>
          </w:p>
        </w:tc>
        <w:tc>
          <w:tcPr>
            <w:tcW w:w="1237" w:type="dxa"/>
            <w:vAlign w:val="center"/>
          </w:tcPr>
          <w:p w:rsidR="001B6709" w:rsidRDefault="00FE052B">
            <w:pPr>
              <w:jc w:val="right"/>
            </w:pPr>
            <w:r>
              <w:rPr>
                <w:color w:val="000000"/>
                <w:sz w:val="24"/>
                <w:szCs w:val="24"/>
              </w:rPr>
              <w:t>3.61</w:t>
            </w:r>
          </w:p>
        </w:tc>
      </w:tr>
      <w:tr w:rsidR="001B6709">
        <w:trPr>
          <w:jc w:val="center"/>
        </w:trPr>
        <w:tc>
          <w:tcPr>
            <w:tcW w:w="850" w:type="dxa"/>
            <w:vAlign w:val="center"/>
          </w:tcPr>
          <w:p w:rsidR="001B6709" w:rsidRDefault="00FE052B">
            <w:pPr>
              <w:jc w:val="center"/>
            </w:pPr>
            <w:r>
              <w:rPr>
                <w:color w:val="000000"/>
                <w:sz w:val="24"/>
                <w:szCs w:val="24"/>
              </w:rPr>
              <w:t>4</w:t>
            </w:r>
          </w:p>
        </w:tc>
        <w:tc>
          <w:tcPr>
            <w:tcW w:w="1475" w:type="dxa"/>
            <w:vAlign w:val="center"/>
          </w:tcPr>
          <w:p w:rsidR="001B6709" w:rsidRDefault="00FE052B">
            <w:pPr>
              <w:jc w:val="center"/>
            </w:pPr>
            <w:r>
              <w:rPr>
                <w:color w:val="000000"/>
                <w:sz w:val="24"/>
                <w:szCs w:val="24"/>
              </w:rPr>
              <w:t>1580193</w:t>
            </w:r>
          </w:p>
        </w:tc>
        <w:tc>
          <w:tcPr>
            <w:tcW w:w="1769" w:type="dxa"/>
            <w:vAlign w:val="center"/>
          </w:tcPr>
          <w:p w:rsidR="001B6709" w:rsidRDefault="00FE052B">
            <w:pPr>
              <w:jc w:val="center"/>
            </w:pPr>
            <w:r>
              <w:rPr>
                <w:color w:val="000000"/>
                <w:sz w:val="24"/>
                <w:szCs w:val="24"/>
              </w:rPr>
              <w:t>15</w:t>
            </w:r>
            <w:r>
              <w:rPr>
                <w:color w:val="000000"/>
                <w:sz w:val="24"/>
                <w:szCs w:val="24"/>
              </w:rPr>
              <w:t>洪轨债</w:t>
            </w:r>
            <w:r>
              <w:rPr>
                <w:color w:val="000000"/>
                <w:sz w:val="24"/>
                <w:szCs w:val="24"/>
              </w:rPr>
              <w:t>02</w:t>
            </w:r>
          </w:p>
        </w:tc>
        <w:tc>
          <w:tcPr>
            <w:tcW w:w="1387" w:type="dxa"/>
            <w:vAlign w:val="center"/>
          </w:tcPr>
          <w:p w:rsidR="001B6709" w:rsidRDefault="00FE052B">
            <w:pPr>
              <w:jc w:val="right"/>
            </w:pPr>
            <w:r>
              <w:rPr>
                <w:color w:val="000000"/>
                <w:sz w:val="24"/>
                <w:szCs w:val="24"/>
              </w:rPr>
              <w:t>600,000</w:t>
            </w:r>
          </w:p>
        </w:tc>
        <w:tc>
          <w:tcPr>
            <w:tcW w:w="2150" w:type="dxa"/>
            <w:vAlign w:val="center"/>
          </w:tcPr>
          <w:p w:rsidR="001B6709" w:rsidRDefault="00FE052B">
            <w:pPr>
              <w:jc w:val="right"/>
            </w:pPr>
            <w:r>
              <w:rPr>
                <w:color w:val="000000"/>
                <w:sz w:val="24"/>
                <w:szCs w:val="24"/>
              </w:rPr>
              <w:t>60,942,000.00</w:t>
            </w:r>
          </w:p>
        </w:tc>
        <w:tc>
          <w:tcPr>
            <w:tcW w:w="1237" w:type="dxa"/>
            <w:vAlign w:val="center"/>
          </w:tcPr>
          <w:p w:rsidR="001B6709" w:rsidRDefault="00FE052B">
            <w:pPr>
              <w:jc w:val="right"/>
            </w:pPr>
            <w:r>
              <w:rPr>
                <w:color w:val="000000"/>
                <w:sz w:val="24"/>
                <w:szCs w:val="24"/>
              </w:rPr>
              <w:t>2.74</w:t>
            </w:r>
          </w:p>
        </w:tc>
      </w:tr>
      <w:tr w:rsidR="001B6709">
        <w:trPr>
          <w:jc w:val="center"/>
        </w:trPr>
        <w:tc>
          <w:tcPr>
            <w:tcW w:w="850" w:type="dxa"/>
            <w:vAlign w:val="center"/>
          </w:tcPr>
          <w:p w:rsidR="001B6709" w:rsidRDefault="00FE052B">
            <w:pPr>
              <w:jc w:val="center"/>
            </w:pPr>
            <w:r>
              <w:rPr>
                <w:color w:val="000000"/>
                <w:sz w:val="24"/>
                <w:szCs w:val="24"/>
              </w:rPr>
              <w:t>5</w:t>
            </w:r>
          </w:p>
        </w:tc>
        <w:tc>
          <w:tcPr>
            <w:tcW w:w="1475" w:type="dxa"/>
            <w:vAlign w:val="center"/>
          </w:tcPr>
          <w:p w:rsidR="001B6709" w:rsidRDefault="00FE052B">
            <w:pPr>
              <w:jc w:val="center"/>
            </w:pPr>
            <w:r>
              <w:rPr>
                <w:color w:val="000000"/>
                <w:sz w:val="24"/>
                <w:szCs w:val="24"/>
              </w:rPr>
              <w:t>011901023</w:t>
            </w:r>
          </w:p>
        </w:tc>
        <w:tc>
          <w:tcPr>
            <w:tcW w:w="1769" w:type="dxa"/>
            <w:vAlign w:val="center"/>
          </w:tcPr>
          <w:p w:rsidR="001B6709" w:rsidRDefault="00FE052B">
            <w:pPr>
              <w:jc w:val="center"/>
            </w:pPr>
            <w:r>
              <w:rPr>
                <w:color w:val="000000"/>
                <w:sz w:val="24"/>
                <w:szCs w:val="24"/>
              </w:rPr>
              <w:t>19</w:t>
            </w:r>
            <w:r>
              <w:rPr>
                <w:color w:val="000000"/>
                <w:sz w:val="24"/>
                <w:szCs w:val="24"/>
              </w:rPr>
              <w:t>常城建</w:t>
            </w:r>
            <w:r>
              <w:rPr>
                <w:color w:val="000000"/>
                <w:sz w:val="24"/>
                <w:szCs w:val="24"/>
              </w:rPr>
              <w:t>SCP006</w:t>
            </w:r>
          </w:p>
        </w:tc>
        <w:tc>
          <w:tcPr>
            <w:tcW w:w="1387" w:type="dxa"/>
            <w:vAlign w:val="center"/>
          </w:tcPr>
          <w:p w:rsidR="001B6709" w:rsidRDefault="00FE052B">
            <w:pPr>
              <w:jc w:val="right"/>
            </w:pPr>
            <w:r>
              <w:rPr>
                <w:color w:val="000000"/>
                <w:sz w:val="24"/>
                <w:szCs w:val="24"/>
              </w:rPr>
              <w:t>600,000</w:t>
            </w:r>
          </w:p>
        </w:tc>
        <w:tc>
          <w:tcPr>
            <w:tcW w:w="2150" w:type="dxa"/>
            <w:vAlign w:val="center"/>
          </w:tcPr>
          <w:p w:rsidR="001B6709" w:rsidRDefault="00FE052B">
            <w:pPr>
              <w:jc w:val="right"/>
            </w:pPr>
            <w:r>
              <w:rPr>
                <w:color w:val="000000"/>
                <w:sz w:val="24"/>
                <w:szCs w:val="24"/>
              </w:rPr>
              <w:t>60,180,000.00</w:t>
            </w:r>
          </w:p>
        </w:tc>
        <w:tc>
          <w:tcPr>
            <w:tcW w:w="1237" w:type="dxa"/>
            <w:vAlign w:val="center"/>
          </w:tcPr>
          <w:p w:rsidR="001B6709" w:rsidRDefault="00FE052B">
            <w:pPr>
              <w:jc w:val="right"/>
            </w:pPr>
            <w:r>
              <w:rPr>
                <w:color w:val="000000"/>
                <w:sz w:val="24"/>
                <w:szCs w:val="24"/>
              </w:rPr>
              <w:t>2.70</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本基金投资的前十名股票中，没有超出基金合同规定的备选股票库之外的股票。</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11.3</w:t>
      </w:r>
      <w:r w:rsidR="0035383E" w:rsidRPr="006B0D08">
        <w:rPr>
          <w:b/>
          <w:bCs/>
          <w:color w:val="000000"/>
          <w:kern w:val="0"/>
          <w:sz w:val="24"/>
          <w:szCs w:val="24"/>
        </w:rPr>
        <w:t>其他</w:t>
      </w:r>
      <w:r w:rsidR="004061AC" w:rsidRPr="006B0D08">
        <w:rPr>
          <w:b/>
          <w:bCs/>
          <w:color w:val="000000"/>
          <w:kern w:val="0"/>
          <w:sz w:val="24"/>
          <w:szCs w:val="24"/>
        </w:rPr>
        <w:t>资产构成</w:t>
      </w:r>
    </w:p>
    <w:p w:rsidR="00DD7A00" w:rsidRPr="00414345" w:rsidRDefault="004A0AA9" w:rsidP="00DD7A00">
      <w:pPr>
        <w:autoSpaceDE w:val="0"/>
        <w:autoSpaceDN w:val="0"/>
        <w:adjustRightInd w:val="0"/>
        <w:spacing w:before="29" w:line="288" w:lineRule="auto"/>
        <w:jc w:val="right"/>
        <w:rPr>
          <w:bCs/>
          <w:color w:val="000000"/>
          <w:kern w:val="0"/>
          <w:sz w:val="24"/>
          <w:szCs w:val="24"/>
        </w:rPr>
      </w:pPr>
      <w:r w:rsidRPr="004A0AA9">
        <w:rPr>
          <w:rFonts w:hint="eastAsia"/>
          <w:bCs/>
          <w:color w:val="000000"/>
          <w:kern w:val="0"/>
          <w:sz w:val="24"/>
          <w:szCs w:val="24"/>
        </w:rPr>
        <w:t>金额单位：人民币元</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106,189.77</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35,405,574.88</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2,308.13</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50.00</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35,514,122.78</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275745" w:rsidRPr="006B0D08">
        <w:rPr>
          <w:b/>
          <w:bCs/>
          <w:color w:val="000000"/>
          <w:kern w:val="0"/>
          <w:sz w:val="24"/>
          <w:szCs w:val="24"/>
        </w:rPr>
        <w:t>.</w:t>
      </w:r>
      <w:r w:rsidR="0059076B" w:rsidRPr="006B0D08">
        <w:rPr>
          <w:b/>
          <w:bCs/>
          <w:color w:val="000000"/>
          <w:kern w:val="0"/>
          <w:sz w:val="24"/>
          <w:szCs w:val="24"/>
        </w:rPr>
        <w:t>11.4</w:t>
      </w:r>
      <w:r w:rsidR="004061AC" w:rsidRPr="006B0D08">
        <w:rPr>
          <w:b/>
          <w:bCs/>
          <w:color w:val="000000"/>
          <w:kern w:val="0"/>
          <w:sz w:val="24"/>
          <w:szCs w:val="24"/>
        </w:rPr>
        <w:t>报告期末持有的处于转股期的可转换债券明细</w:t>
      </w:r>
    </w:p>
    <w:p w:rsidR="00173B44" w:rsidRPr="00414345" w:rsidRDefault="00173B44" w:rsidP="00173B44">
      <w:pPr>
        <w:autoSpaceDE w:val="0"/>
        <w:autoSpaceDN w:val="0"/>
        <w:adjustRightInd w:val="0"/>
        <w:spacing w:before="29" w:line="288" w:lineRule="auto"/>
        <w:jc w:val="right"/>
        <w:rPr>
          <w:bCs/>
          <w:color w:val="000000"/>
          <w:kern w:val="0"/>
          <w:sz w:val="24"/>
          <w:szCs w:val="24"/>
        </w:rPr>
      </w:pPr>
      <w:r w:rsidRPr="00173B44">
        <w:rPr>
          <w:rFonts w:hint="eastAsia"/>
          <w:bCs/>
          <w:color w:val="000000"/>
          <w:kern w:val="0"/>
          <w:sz w:val="24"/>
          <w:szCs w:val="24"/>
        </w:rPr>
        <w:t>金额单位：人民币元</w:t>
      </w:r>
    </w:p>
    <w:tbl>
      <w:tblPr>
        <w:tblStyle w:val="af7"/>
        <w:tblW w:w="8868" w:type="dxa"/>
        <w:jc w:val="center"/>
        <w:tblLayout w:type="fixed"/>
        <w:tblCellMar>
          <w:top w:w="57" w:type="dxa"/>
          <w:bottom w:w="57" w:type="dxa"/>
        </w:tblCellMar>
        <w:tblLook w:val="04A0" w:firstRow="1" w:lastRow="0" w:firstColumn="1" w:lastColumn="0" w:noHBand="0" w:noVBand="1"/>
      </w:tblPr>
      <w:tblGrid>
        <w:gridCol w:w="1883"/>
        <w:gridCol w:w="1801"/>
        <w:gridCol w:w="1727"/>
        <w:gridCol w:w="1768"/>
        <w:gridCol w:w="1689"/>
      </w:tblGrid>
      <w:tr w:rsidR="003E62FB" w:rsidRPr="00414345" w:rsidTr="00A324F4">
        <w:trPr>
          <w:jc w:val="center"/>
        </w:trPr>
        <w:tc>
          <w:tcPr>
            <w:tcW w:w="180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序号</w:t>
            </w:r>
          </w:p>
        </w:tc>
        <w:tc>
          <w:tcPr>
            <w:tcW w:w="1729"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债券代码</w:t>
            </w:r>
          </w:p>
        </w:tc>
        <w:tc>
          <w:tcPr>
            <w:tcW w:w="1658"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债券名称</w:t>
            </w:r>
          </w:p>
        </w:tc>
        <w:tc>
          <w:tcPr>
            <w:tcW w:w="1697"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公允价值</w:t>
            </w:r>
          </w:p>
        </w:tc>
        <w:tc>
          <w:tcPr>
            <w:tcW w:w="1621" w:type="dxa"/>
            <w:vAlign w:val="center"/>
          </w:tcPr>
          <w:p w:rsidR="003E62FB" w:rsidRPr="00414345" w:rsidRDefault="003E62FB" w:rsidP="00C15CAC">
            <w:pPr>
              <w:spacing w:before="29" w:line="288" w:lineRule="auto"/>
              <w:ind w:left="17"/>
              <w:jc w:val="center"/>
              <w:rPr>
                <w:color w:val="000000"/>
                <w:sz w:val="24"/>
                <w:szCs w:val="24"/>
              </w:rPr>
            </w:pPr>
            <w:r w:rsidRPr="00414345">
              <w:rPr>
                <w:color w:val="000000"/>
                <w:sz w:val="24"/>
                <w:szCs w:val="24"/>
              </w:rPr>
              <w:t>占基金资产净值比例</w:t>
            </w:r>
            <w:r w:rsidR="009D1BD9">
              <w:rPr>
                <w:rFonts w:hint="eastAsia"/>
                <w:color w:val="000000"/>
                <w:sz w:val="24"/>
                <w:szCs w:val="24"/>
              </w:rPr>
              <w:t>(</w:t>
            </w:r>
            <w:r w:rsidR="009D1BD9">
              <w:rPr>
                <w:color w:val="000000"/>
                <w:sz w:val="24"/>
                <w:szCs w:val="24"/>
              </w:rPr>
              <w:t>%</w:t>
            </w:r>
            <w:r w:rsidR="009D1BD9">
              <w:rPr>
                <w:rFonts w:hint="eastAsia"/>
                <w:color w:val="000000"/>
                <w:sz w:val="24"/>
                <w:szCs w:val="24"/>
              </w:rPr>
              <w:t>)</w:t>
            </w:r>
          </w:p>
        </w:tc>
      </w:tr>
      <w:tr w:rsidR="001B6709">
        <w:trPr>
          <w:jc w:val="center"/>
        </w:trPr>
        <w:tc>
          <w:tcPr>
            <w:tcW w:w="1883" w:type="dxa"/>
            <w:vAlign w:val="center"/>
          </w:tcPr>
          <w:p w:rsidR="001B6709" w:rsidRDefault="00FE052B">
            <w:pPr>
              <w:jc w:val="center"/>
            </w:pPr>
            <w:r>
              <w:rPr>
                <w:color w:val="000000"/>
                <w:sz w:val="24"/>
                <w:szCs w:val="24"/>
              </w:rPr>
              <w:t>1</w:t>
            </w:r>
          </w:p>
        </w:tc>
        <w:tc>
          <w:tcPr>
            <w:tcW w:w="1801" w:type="dxa"/>
            <w:vAlign w:val="center"/>
          </w:tcPr>
          <w:p w:rsidR="001B6709" w:rsidRDefault="00FE052B">
            <w:pPr>
              <w:jc w:val="center"/>
            </w:pPr>
            <w:r>
              <w:rPr>
                <w:color w:val="000000"/>
                <w:sz w:val="24"/>
                <w:szCs w:val="24"/>
              </w:rPr>
              <w:t>110053</w:t>
            </w:r>
          </w:p>
        </w:tc>
        <w:tc>
          <w:tcPr>
            <w:tcW w:w="1727" w:type="dxa"/>
            <w:vAlign w:val="center"/>
          </w:tcPr>
          <w:p w:rsidR="001B6709" w:rsidRDefault="00FE052B">
            <w:pPr>
              <w:jc w:val="center"/>
            </w:pPr>
            <w:r>
              <w:rPr>
                <w:color w:val="000000"/>
                <w:sz w:val="24"/>
                <w:szCs w:val="24"/>
              </w:rPr>
              <w:t>苏银转债</w:t>
            </w:r>
          </w:p>
        </w:tc>
        <w:tc>
          <w:tcPr>
            <w:tcW w:w="1768" w:type="dxa"/>
            <w:vAlign w:val="center"/>
          </w:tcPr>
          <w:p w:rsidR="001B6709" w:rsidRDefault="00FE052B">
            <w:pPr>
              <w:jc w:val="right"/>
            </w:pPr>
            <w:r>
              <w:rPr>
                <w:color w:val="000000"/>
                <w:sz w:val="24"/>
                <w:szCs w:val="24"/>
              </w:rPr>
              <w:t>47,713,600.00</w:t>
            </w:r>
          </w:p>
        </w:tc>
        <w:tc>
          <w:tcPr>
            <w:tcW w:w="1689" w:type="dxa"/>
            <w:vAlign w:val="center"/>
          </w:tcPr>
          <w:p w:rsidR="001B6709" w:rsidRDefault="00FE052B">
            <w:pPr>
              <w:jc w:val="right"/>
            </w:pPr>
            <w:r>
              <w:rPr>
                <w:color w:val="000000"/>
                <w:sz w:val="24"/>
                <w:szCs w:val="24"/>
              </w:rPr>
              <w:t>2.14</w:t>
            </w:r>
          </w:p>
        </w:tc>
      </w:tr>
      <w:tr w:rsidR="001B6709">
        <w:trPr>
          <w:jc w:val="center"/>
        </w:trPr>
        <w:tc>
          <w:tcPr>
            <w:tcW w:w="1883" w:type="dxa"/>
            <w:vAlign w:val="center"/>
          </w:tcPr>
          <w:p w:rsidR="001B6709" w:rsidRDefault="00FE052B">
            <w:pPr>
              <w:jc w:val="center"/>
            </w:pPr>
            <w:r>
              <w:rPr>
                <w:color w:val="000000"/>
                <w:sz w:val="24"/>
                <w:szCs w:val="24"/>
              </w:rPr>
              <w:t>2</w:t>
            </w:r>
          </w:p>
        </w:tc>
        <w:tc>
          <w:tcPr>
            <w:tcW w:w="1801" w:type="dxa"/>
            <w:vAlign w:val="center"/>
          </w:tcPr>
          <w:p w:rsidR="001B6709" w:rsidRDefault="00FE052B">
            <w:pPr>
              <w:jc w:val="center"/>
            </w:pPr>
            <w:r>
              <w:rPr>
                <w:color w:val="000000"/>
                <w:sz w:val="24"/>
                <w:szCs w:val="24"/>
              </w:rPr>
              <w:t>113011</w:t>
            </w:r>
          </w:p>
        </w:tc>
        <w:tc>
          <w:tcPr>
            <w:tcW w:w="1727" w:type="dxa"/>
            <w:vAlign w:val="center"/>
          </w:tcPr>
          <w:p w:rsidR="001B6709" w:rsidRDefault="00FE052B">
            <w:pPr>
              <w:jc w:val="center"/>
            </w:pPr>
            <w:r>
              <w:rPr>
                <w:color w:val="000000"/>
                <w:sz w:val="24"/>
                <w:szCs w:val="24"/>
              </w:rPr>
              <w:t>光大转债</w:t>
            </w:r>
          </w:p>
        </w:tc>
        <w:tc>
          <w:tcPr>
            <w:tcW w:w="1768" w:type="dxa"/>
            <w:vAlign w:val="center"/>
          </w:tcPr>
          <w:p w:rsidR="001B6709" w:rsidRDefault="00FE052B">
            <w:pPr>
              <w:jc w:val="right"/>
            </w:pPr>
            <w:r>
              <w:rPr>
                <w:color w:val="000000"/>
                <w:sz w:val="24"/>
                <w:szCs w:val="24"/>
              </w:rPr>
              <w:t>29,515,200.00</w:t>
            </w:r>
          </w:p>
        </w:tc>
        <w:tc>
          <w:tcPr>
            <w:tcW w:w="1689" w:type="dxa"/>
            <w:vAlign w:val="center"/>
          </w:tcPr>
          <w:p w:rsidR="001B6709" w:rsidRDefault="00FE052B">
            <w:pPr>
              <w:jc w:val="right"/>
            </w:pPr>
            <w:r>
              <w:rPr>
                <w:color w:val="000000"/>
                <w:sz w:val="24"/>
                <w:szCs w:val="24"/>
              </w:rPr>
              <w:t>1.33</w:t>
            </w:r>
          </w:p>
        </w:tc>
      </w:tr>
      <w:tr w:rsidR="001B6709">
        <w:trPr>
          <w:jc w:val="center"/>
        </w:trPr>
        <w:tc>
          <w:tcPr>
            <w:tcW w:w="1883" w:type="dxa"/>
            <w:vAlign w:val="center"/>
          </w:tcPr>
          <w:p w:rsidR="001B6709" w:rsidRDefault="00FE052B">
            <w:pPr>
              <w:jc w:val="center"/>
            </w:pPr>
            <w:r>
              <w:rPr>
                <w:color w:val="000000"/>
                <w:sz w:val="24"/>
                <w:szCs w:val="24"/>
              </w:rPr>
              <w:t>3</w:t>
            </w:r>
          </w:p>
        </w:tc>
        <w:tc>
          <w:tcPr>
            <w:tcW w:w="1801" w:type="dxa"/>
            <w:vAlign w:val="center"/>
          </w:tcPr>
          <w:p w:rsidR="001B6709" w:rsidRDefault="00FE052B">
            <w:pPr>
              <w:jc w:val="center"/>
            </w:pPr>
            <w:r>
              <w:rPr>
                <w:color w:val="000000"/>
                <w:sz w:val="24"/>
                <w:szCs w:val="24"/>
              </w:rPr>
              <w:t>113020</w:t>
            </w:r>
          </w:p>
        </w:tc>
        <w:tc>
          <w:tcPr>
            <w:tcW w:w="1727" w:type="dxa"/>
            <w:vAlign w:val="center"/>
          </w:tcPr>
          <w:p w:rsidR="001B6709" w:rsidRDefault="00FE052B">
            <w:pPr>
              <w:jc w:val="center"/>
            </w:pPr>
            <w:r>
              <w:rPr>
                <w:color w:val="000000"/>
                <w:sz w:val="24"/>
                <w:szCs w:val="24"/>
              </w:rPr>
              <w:t>桐昆转债</w:t>
            </w:r>
          </w:p>
        </w:tc>
        <w:tc>
          <w:tcPr>
            <w:tcW w:w="1768" w:type="dxa"/>
            <w:vAlign w:val="center"/>
          </w:tcPr>
          <w:p w:rsidR="001B6709" w:rsidRDefault="00FE052B">
            <w:pPr>
              <w:jc w:val="right"/>
            </w:pPr>
            <w:r>
              <w:rPr>
                <w:color w:val="000000"/>
                <w:sz w:val="24"/>
                <w:szCs w:val="24"/>
              </w:rPr>
              <w:t>20,109,300.00</w:t>
            </w:r>
          </w:p>
        </w:tc>
        <w:tc>
          <w:tcPr>
            <w:tcW w:w="1689" w:type="dxa"/>
            <w:vAlign w:val="center"/>
          </w:tcPr>
          <w:p w:rsidR="001B6709" w:rsidRDefault="00FE052B">
            <w:pPr>
              <w:jc w:val="right"/>
            </w:pPr>
            <w:r>
              <w:rPr>
                <w:color w:val="000000"/>
                <w:sz w:val="24"/>
                <w:szCs w:val="24"/>
              </w:rPr>
              <w:t>0.90</w:t>
            </w:r>
          </w:p>
        </w:tc>
      </w:tr>
      <w:tr w:rsidR="001B6709">
        <w:trPr>
          <w:jc w:val="center"/>
        </w:trPr>
        <w:tc>
          <w:tcPr>
            <w:tcW w:w="1883" w:type="dxa"/>
            <w:vAlign w:val="center"/>
          </w:tcPr>
          <w:p w:rsidR="001B6709" w:rsidRDefault="00FE052B">
            <w:pPr>
              <w:jc w:val="center"/>
            </w:pPr>
            <w:r>
              <w:rPr>
                <w:color w:val="000000"/>
                <w:sz w:val="24"/>
                <w:szCs w:val="24"/>
              </w:rPr>
              <w:t>4</w:t>
            </w:r>
          </w:p>
        </w:tc>
        <w:tc>
          <w:tcPr>
            <w:tcW w:w="1801" w:type="dxa"/>
            <w:vAlign w:val="center"/>
          </w:tcPr>
          <w:p w:rsidR="001B6709" w:rsidRDefault="00FE052B">
            <w:pPr>
              <w:jc w:val="center"/>
            </w:pPr>
            <w:r>
              <w:rPr>
                <w:color w:val="000000"/>
                <w:sz w:val="24"/>
                <w:szCs w:val="24"/>
              </w:rPr>
              <w:t>128016</w:t>
            </w:r>
          </w:p>
        </w:tc>
        <w:tc>
          <w:tcPr>
            <w:tcW w:w="1727" w:type="dxa"/>
            <w:vAlign w:val="center"/>
          </w:tcPr>
          <w:p w:rsidR="001B6709" w:rsidRDefault="00FE052B">
            <w:pPr>
              <w:jc w:val="center"/>
            </w:pPr>
            <w:r>
              <w:rPr>
                <w:color w:val="000000"/>
                <w:sz w:val="24"/>
                <w:szCs w:val="24"/>
              </w:rPr>
              <w:t>雨虹转债</w:t>
            </w:r>
          </w:p>
        </w:tc>
        <w:tc>
          <w:tcPr>
            <w:tcW w:w="1768" w:type="dxa"/>
            <w:vAlign w:val="center"/>
          </w:tcPr>
          <w:p w:rsidR="001B6709" w:rsidRDefault="00FE052B">
            <w:pPr>
              <w:jc w:val="right"/>
            </w:pPr>
            <w:r>
              <w:rPr>
                <w:color w:val="000000"/>
                <w:sz w:val="24"/>
                <w:szCs w:val="24"/>
              </w:rPr>
              <w:t>8,039,898.00</w:t>
            </w:r>
          </w:p>
        </w:tc>
        <w:tc>
          <w:tcPr>
            <w:tcW w:w="1689" w:type="dxa"/>
            <w:vAlign w:val="center"/>
          </w:tcPr>
          <w:p w:rsidR="001B6709" w:rsidRDefault="00FE052B">
            <w:pPr>
              <w:jc w:val="right"/>
            </w:pPr>
            <w:r>
              <w:rPr>
                <w:color w:val="000000"/>
                <w:sz w:val="24"/>
                <w:szCs w:val="24"/>
              </w:rPr>
              <w:t>0.36</w:t>
            </w:r>
          </w:p>
        </w:tc>
      </w:tr>
      <w:tr w:rsidR="001B6709">
        <w:trPr>
          <w:jc w:val="center"/>
        </w:trPr>
        <w:tc>
          <w:tcPr>
            <w:tcW w:w="1883" w:type="dxa"/>
            <w:vAlign w:val="center"/>
          </w:tcPr>
          <w:p w:rsidR="001B6709" w:rsidRDefault="00FE052B">
            <w:pPr>
              <w:jc w:val="center"/>
            </w:pPr>
            <w:r>
              <w:rPr>
                <w:color w:val="000000"/>
                <w:sz w:val="24"/>
                <w:szCs w:val="24"/>
              </w:rPr>
              <w:t>5</w:t>
            </w:r>
          </w:p>
        </w:tc>
        <w:tc>
          <w:tcPr>
            <w:tcW w:w="1801" w:type="dxa"/>
            <w:vAlign w:val="center"/>
          </w:tcPr>
          <w:p w:rsidR="001B6709" w:rsidRDefault="00FE052B">
            <w:pPr>
              <w:jc w:val="center"/>
            </w:pPr>
            <w:r>
              <w:rPr>
                <w:color w:val="000000"/>
                <w:sz w:val="24"/>
                <w:szCs w:val="24"/>
              </w:rPr>
              <w:t>110049</w:t>
            </w:r>
          </w:p>
        </w:tc>
        <w:tc>
          <w:tcPr>
            <w:tcW w:w="1727" w:type="dxa"/>
            <w:vAlign w:val="center"/>
          </w:tcPr>
          <w:p w:rsidR="001B6709" w:rsidRDefault="00FE052B">
            <w:pPr>
              <w:jc w:val="center"/>
            </w:pPr>
            <w:r>
              <w:rPr>
                <w:color w:val="000000"/>
                <w:sz w:val="24"/>
                <w:szCs w:val="24"/>
              </w:rPr>
              <w:t>海尔转债</w:t>
            </w:r>
          </w:p>
        </w:tc>
        <w:tc>
          <w:tcPr>
            <w:tcW w:w="1768" w:type="dxa"/>
            <w:vAlign w:val="center"/>
          </w:tcPr>
          <w:p w:rsidR="001B6709" w:rsidRDefault="00FE052B">
            <w:pPr>
              <w:jc w:val="right"/>
            </w:pPr>
            <w:r>
              <w:rPr>
                <w:color w:val="000000"/>
                <w:sz w:val="24"/>
                <w:szCs w:val="24"/>
              </w:rPr>
              <w:t>5,901,000.00</w:t>
            </w:r>
          </w:p>
        </w:tc>
        <w:tc>
          <w:tcPr>
            <w:tcW w:w="1689" w:type="dxa"/>
            <w:vAlign w:val="center"/>
          </w:tcPr>
          <w:p w:rsidR="001B6709" w:rsidRDefault="00FE052B">
            <w:pPr>
              <w:jc w:val="right"/>
            </w:pPr>
            <w:r>
              <w:rPr>
                <w:color w:val="000000"/>
                <w:sz w:val="24"/>
                <w:szCs w:val="24"/>
              </w:rPr>
              <w:t>0.2</w:t>
            </w:r>
            <w:r>
              <w:rPr>
                <w:rFonts w:hint="eastAsia"/>
                <w:color w:val="000000"/>
                <w:sz w:val="24"/>
                <w:szCs w:val="24"/>
              </w:rPr>
              <w:t>7</w:t>
            </w:r>
          </w:p>
        </w:tc>
      </w:tr>
      <w:tr w:rsidR="001B6709">
        <w:trPr>
          <w:jc w:val="center"/>
        </w:trPr>
        <w:tc>
          <w:tcPr>
            <w:tcW w:w="1883" w:type="dxa"/>
            <w:vAlign w:val="center"/>
          </w:tcPr>
          <w:p w:rsidR="001B6709" w:rsidRDefault="00FE052B">
            <w:pPr>
              <w:jc w:val="center"/>
            </w:pPr>
            <w:r>
              <w:rPr>
                <w:color w:val="000000"/>
                <w:sz w:val="24"/>
                <w:szCs w:val="24"/>
              </w:rPr>
              <w:t>6</w:t>
            </w:r>
          </w:p>
        </w:tc>
        <w:tc>
          <w:tcPr>
            <w:tcW w:w="1801" w:type="dxa"/>
            <w:vAlign w:val="center"/>
          </w:tcPr>
          <w:p w:rsidR="001B6709" w:rsidRDefault="00FE052B">
            <w:pPr>
              <w:jc w:val="center"/>
            </w:pPr>
            <w:r>
              <w:rPr>
                <w:color w:val="000000"/>
                <w:sz w:val="24"/>
                <w:szCs w:val="24"/>
              </w:rPr>
              <w:t>113008</w:t>
            </w:r>
          </w:p>
        </w:tc>
        <w:tc>
          <w:tcPr>
            <w:tcW w:w="1727" w:type="dxa"/>
            <w:vAlign w:val="center"/>
          </w:tcPr>
          <w:p w:rsidR="001B6709" w:rsidRDefault="00FE052B">
            <w:pPr>
              <w:jc w:val="center"/>
            </w:pPr>
            <w:r>
              <w:rPr>
                <w:color w:val="000000"/>
                <w:sz w:val="24"/>
                <w:szCs w:val="24"/>
              </w:rPr>
              <w:t>电气转债</w:t>
            </w:r>
          </w:p>
        </w:tc>
        <w:tc>
          <w:tcPr>
            <w:tcW w:w="1768" w:type="dxa"/>
            <w:vAlign w:val="center"/>
          </w:tcPr>
          <w:p w:rsidR="001B6709" w:rsidRDefault="00FE052B">
            <w:pPr>
              <w:jc w:val="right"/>
            </w:pPr>
            <w:r>
              <w:rPr>
                <w:color w:val="000000"/>
                <w:sz w:val="24"/>
                <w:szCs w:val="24"/>
              </w:rPr>
              <w:t>5,735,000.00</w:t>
            </w:r>
          </w:p>
        </w:tc>
        <w:tc>
          <w:tcPr>
            <w:tcW w:w="1689" w:type="dxa"/>
            <w:vAlign w:val="center"/>
          </w:tcPr>
          <w:p w:rsidR="001B6709" w:rsidRDefault="00FE052B">
            <w:pPr>
              <w:jc w:val="right"/>
            </w:pPr>
            <w:r>
              <w:rPr>
                <w:color w:val="000000"/>
                <w:sz w:val="24"/>
                <w:szCs w:val="24"/>
              </w:rPr>
              <w:t>0.26</w:t>
            </w:r>
          </w:p>
        </w:tc>
      </w:tr>
      <w:tr w:rsidR="001B6709">
        <w:trPr>
          <w:jc w:val="center"/>
        </w:trPr>
        <w:tc>
          <w:tcPr>
            <w:tcW w:w="1883" w:type="dxa"/>
            <w:vAlign w:val="center"/>
          </w:tcPr>
          <w:p w:rsidR="001B6709" w:rsidRDefault="00FE052B">
            <w:pPr>
              <w:jc w:val="center"/>
            </w:pPr>
            <w:r>
              <w:rPr>
                <w:color w:val="000000"/>
                <w:sz w:val="24"/>
                <w:szCs w:val="24"/>
              </w:rPr>
              <w:t>7</w:t>
            </w:r>
          </w:p>
        </w:tc>
        <w:tc>
          <w:tcPr>
            <w:tcW w:w="1801" w:type="dxa"/>
            <w:vAlign w:val="center"/>
          </w:tcPr>
          <w:p w:rsidR="001B6709" w:rsidRDefault="00FE052B">
            <w:pPr>
              <w:jc w:val="center"/>
            </w:pPr>
            <w:r>
              <w:rPr>
                <w:color w:val="000000"/>
                <w:sz w:val="24"/>
                <w:szCs w:val="24"/>
              </w:rPr>
              <w:t>113019</w:t>
            </w:r>
          </w:p>
        </w:tc>
        <w:tc>
          <w:tcPr>
            <w:tcW w:w="1727" w:type="dxa"/>
            <w:vAlign w:val="center"/>
          </w:tcPr>
          <w:p w:rsidR="001B6709" w:rsidRDefault="00FE052B">
            <w:pPr>
              <w:jc w:val="center"/>
            </w:pPr>
            <w:r>
              <w:rPr>
                <w:color w:val="000000"/>
                <w:sz w:val="24"/>
                <w:szCs w:val="24"/>
              </w:rPr>
              <w:t>玲珑转债</w:t>
            </w:r>
          </w:p>
        </w:tc>
        <w:tc>
          <w:tcPr>
            <w:tcW w:w="1768" w:type="dxa"/>
            <w:vAlign w:val="center"/>
          </w:tcPr>
          <w:p w:rsidR="001B6709" w:rsidRDefault="00FE052B">
            <w:pPr>
              <w:jc w:val="right"/>
            </w:pPr>
            <w:r>
              <w:rPr>
                <w:color w:val="000000"/>
                <w:sz w:val="24"/>
                <w:szCs w:val="24"/>
              </w:rPr>
              <w:t>4,105,947.10</w:t>
            </w:r>
          </w:p>
        </w:tc>
        <w:tc>
          <w:tcPr>
            <w:tcW w:w="1689" w:type="dxa"/>
            <w:vAlign w:val="center"/>
          </w:tcPr>
          <w:p w:rsidR="001B6709" w:rsidRDefault="00FE052B">
            <w:pPr>
              <w:jc w:val="right"/>
            </w:pPr>
            <w:r>
              <w:rPr>
                <w:color w:val="000000"/>
                <w:sz w:val="24"/>
                <w:szCs w:val="24"/>
              </w:rPr>
              <w:t>0.18</w:t>
            </w:r>
          </w:p>
        </w:tc>
      </w:tr>
      <w:tr w:rsidR="001B6709">
        <w:trPr>
          <w:jc w:val="center"/>
        </w:trPr>
        <w:tc>
          <w:tcPr>
            <w:tcW w:w="1883" w:type="dxa"/>
            <w:vAlign w:val="center"/>
          </w:tcPr>
          <w:p w:rsidR="001B6709" w:rsidRDefault="00FE052B">
            <w:pPr>
              <w:jc w:val="center"/>
            </w:pPr>
            <w:r>
              <w:rPr>
                <w:color w:val="000000"/>
                <w:sz w:val="24"/>
                <w:szCs w:val="24"/>
              </w:rPr>
              <w:t>8</w:t>
            </w:r>
          </w:p>
        </w:tc>
        <w:tc>
          <w:tcPr>
            <w:tcW w:w="1801" w:type="dxa"/>
            <w:vAlign w:val="center"/>
          </w:tcPr>
          <w:p w:rsidR="001B6709" w:rsidRDefault="00FE052B">
            <w:pPr>
              <w:jc w:val="center"/>
            </w:pPr>
            <w:r>
              <w:rPr>
                <w:color w:val="000000"/>
                <w:sz w:val="24"/>
                <w:szCs w:val="24"/>
              </w:rPr>
              <w:t>128034</w:t>
            </w:r>
          </w:p>
        </w:tc>
        <w:tc>
          <w:tcPr>
            <w:tcW w:w="1727" w:type="dxa"/>
            <w:vAlign w:val="center"/>
          </w:tcPr>
          <w:p w:rsidR="001B6709" w:rsidRDefault="00FE052B">
            <w:pPr>
              <w:jc w:val="center"/>
            </w:pPr>
            <w:r>
              <w:rPr>
                <w:color w:val="000000"/>
                <w:sz w:val="24"/>
                <w:szCs w:val="24"/>
              </w:rPr>
              <w:t>江银转债</w:t>
            </w:r>
          </w:p>
        </w:tc>
        <w:tc>
          <w:tcPr>
            <w:tcW w:w="1768" w:type="dxa"/>
            <w:vAlign w:val="center"/>
          </w:tcPr>
          <w:p w:rsidR="001B6709" w:rsidRDefault="00FE052B">
            <w:pPr>
              <w:jc w:val="right"/>
            </w:pPr>
            <w:r>
              <w:rPr>
                <w:color w:val="000000"/>
                <w:sz w:val="24"/>
                <w:szCs w:val="24"/>
              </w:rPr>
              <w:t>1,270,080.00</w:t>
            </w:r>
          </w:p>
        </w:tc>
        <w:tc>
          <w:tcPr>
            <w:tcW w:w="1689" w:type="dxa"/>
            <w:vAlign w:val="center"/>
          </w:tcPr>
          <w:p w:rsidR="001B6709" w:rsidRDefault="00FE052B">
            <w:pPr>
              <w:jc w:val="right"/>
            </w:pPr>
            <w:r>
              <w:rPr>
                <w:color w:val="000000"/>
                <w:sz w:val="24"/>
                <w:szCs w:val="24"/>
              </w:rPr>
              <w:t>0.06</w:t>
            </w:r>
          </w:p>
        </w:tc>
      </w:tr>
      <w:tr w:rsidR="001B6709">
        <w:trPr>
          <w:jc w:val="center"/>
        </w:trPr>
        <w:tc>
          <w:tcPr>
            <w:tcW w:w="1883" w:type="dxa"/>
            <w:vAlign w:val="center"/>
          </w:tcPr>
          <w:p w:rsidR="001B6709" w:rsidRDefault="00FE052B">
            <w:pPr>
              <w:jc w:val="center"/>
            </w:pPr>
            <w:r>
              <w:rPr>
                <w:color w:val="000000"/>
                <w:sz w:val="24"/>
                <w:szCs w:val="24"/>
              </w:rPr>
              <w:t>9</w:t>
            </w:r>
          </w:p>
        </w:tc>
        <w:tc>
          <w:tcPr>
            <w:tcW w:w="1801" w:type="dxa"/>
            <w:vAlign w:val="center"/>
          </w:tcPr>
          <w:p w:rsidR="001B6709" w:rsidRDefault="00FE052B">
            <w:pPr>
              <w:jc w:val="center"/>
            </w:pPr>
            <w:r>
              <w:rPr>
                <w:color w:val="000000"/>
                <w:sz w:val="24"/>
                <w:szCs w:val="24"/>
              </w:rPr>
              <w:t>113516</w:t>
            </w:r>
          </w:p>
        </w:tc>
        <w:tc>
          <w:tcPr>
            <w:tcW w:w="1727" w:type="dxa"/>
            <w:vAlign w:val="center"/>
          </w:tcPr>
          <w:p w:rsidR="001B6709" w:rsidRDefault="002F3F89">
            <w:pPr>
              <w:jc w:val="center"/>
            </w:pPr>
            <w:r w:rsidRPr="002F3F89">
              <w:rPr>
                <w:rFonts w:hint="eastAsia"/>
                <w:color w:val="000000"/>
                <w:sz w:val="24"/>
                <w:szCs w:val="24"/>
              </w:rPr>
              <w:t>苏农转债</w:t>
            </w:r>
          </w:p>
        </w:tc>
        <w:tc>
          <w:tcPr>
            <w:tcW w:w="1768" w:type="dxa"/>
            <w:vAlign w:val="center"/>
          </w:tcPr>
          <w:p w:rsidR="001B6709" w:rsidRDefault="00FE052B">
            <w:pPr>
              <w:jc w:val="right"/>
            </w:pPr>
            <w:r>
              <w:rPr>
                <w:color w:val="000000"/>
                <w:sz w:val="24"/>
                <w:szCs w:val="24"/>
              </w:rPr>
              <w:t>48,100.50</w:t>
            </w:r>
          </w:p>
        </w:tc>
        <w:tc>
          <w:tcPr>
            <w:tcW w:w="1689" w:type="dxa"/>
            <w:vAlign w:val="center"/>
          </w:tcPr>
          <w:p w:rsidR="001B6709" w:rsidRDefault="00FE052B">
            <w:pPr>
              <w:jc w:val="right"/>
            </w:pPr>
            <w:r>
              <w:rPr>
                <w:color w:val="000000"/>
                <w:sz w:val="24"/>
                <w:szCs w:val="24"/>
              </w:rPr>
              <w:t>0.00</w:t>
            </w:r>
          </w:p>
        </w:tc>
      </w:tr>
      <w:tr w:rsidR="001B6709">
        <w:trPr>
          <w:jc w:val="center"/>
        </w:trPr>
        <w:tc>
          <w:tcPr>
            <w:tcW w:w="1883" w:type="dxa"/>
            <w:vAlign w:val="center"/>
          </w:tcPr>
          <w:p w:rsidR="001B6709" w:rsidRDefault="00FE052B">
            <w:pPr>
              <w:jc w:val="center"/>
            </w:pPr>
            <w:r>
              <w:rPr>
                <w:color w:val="000000"/>
                <w:sz w:val="24"/>
                <w:szCs w:val="24"/>
              </w:rPr>
              <w:t>10</w:t>
            </w:r>
          </w:p>
        </w:tc>
        <w:tc>
          <w:tcPr>
            <w:tcW w:w="1801" w:type="dxa"/>
            <w:vAlign w:val="center"/>
          </w:tcPr>
          <w:p w:rsidR="001B6709" w:rsidRDefault="00FE052B">
            <w:pPr>
              <w:jc w:val="center"/>
            </w:pPr>
            <w:r>
              <w:rPr>
                <w:color w:val="000000"/>
                <w:sz w:val="24"/>
                <w:szCs w:val="24"/>
              </w:rPr>
              <w:t>110043</w:t>
            </w:r>
          </w:p>
        </w:tc>
        <w:tc>
          <w:tcPr>
            <w:tcW w:w="1727" w:type="dxa"/>
            <w:vAlign w:val="center"/>
          </w:tcPr>
          <w:p w:rsidR="001B6709" w:rsidRDefault="00FE052B">
            <w:pPr>
              <w:jc w:val="center"/>
            </w:pPr>
            <w:r>
              <w:rPr>
                <w:color w:val="000000"/>
                <w:sz w:val="24"/>
                <w:szCs w:val="24"/>
              </w:rPr>
              <w:t>无锡转债</w:t>
            </w:r>
          </w:p>
        </w:tc>
        <w:tc>
          <w:tcPr>
            <w:tcW w:w="1768" w:type="dxa"/>
            <w:vAlign w:val="center"/>
          </w:tcPr>
          <w:p w:rsidR="001B6709" w:rsidRDefault="00FE052B">
            <w:pPr>
              <w:jc w:val="right"/>
            </w:pPr>
            <w:r>
              <w:rPr>
                <w:color w:val="000000"/>
                <w:sz w:val="24"/>
                <w:szCs w:val="24"/>
              </w:rPr>
              <w:t>2,073.40</w:t>
            </w:r>
          </w:p>
        </w:tc>
        <w:tc>
          <w:tcPr>
            <w:tcW w:w="1689" w:type="dxa"/>
            <w:vAlign w:val="center"/>
          </w:tcPr>
          <w:p w:rsidR="001B6709" w:rsidRDefault="00FE052B">
            <w:pPr>
              <w:jc w:val="right"/>
            </w:pPr>
            <w:r>
              <w:rPr>
                <w:color w:val="000000"/>
                <w:sz w:val="24"/>
                <w:szCs w:val="24"/>
              </w:rPr>
              <w:t>0.00</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11.5</w:t>
      </w:r>
      <w:r w:rsidR="004061AC" w:rsidRPr="006B0D08">
        <w:rPr>
          <w:b/>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4061AC" w:rsidRPr="006B0D08" w:rsidRDefault="003259C8" w:rsidP="00C15CAC">
      <w:pPr>
        <w:autoSpaceDE w:val="0"/>
        <w:autoSpaceDN w:val="0"/>
        <w:adjustRightInd w:val="0"/>
        <w:spacing w:before="29" w:line="288" w:lineRule="auto"/>
        <w:jc w:val="left"/>
        <w:rPr>
          <w:b/>
          <w:bCs/>
          <w:color w:val="000000"/>
          <w:kern w:val="0"/>
          <w:sz w:val="24"/>
          <w:szCs w:val="24"/>
        </w:rPr>
      </w:pPr>
      <w:r w:rsidRPr="006B0D08">
        <w:rPr>
          <w:b/>
          <w:bCs/>
          <w:color w:val="000000"/>
          <w:kern w:val="0"/>
          <w:sz w:val="24"/>
          <w:szCs w:val="24"/>
        </w:rPr>
        <w:t>5</w:t>
      </w:r>
      <w:r w:rsidR="004061AC" w:rsidRPr="006B0D08">
        <w:rPr>
          <w:b/>
          <w:bCs/>
          <w:color w:val="000000"/>
          <w:kern w:val="0"/>
          <w:sz w:val="24"/>
          <w:szCs w:val="24"/>
        </w:rPr>
        <w:t>.</w:t>
      </w:r>
      <w:r w:rsidR="0059076B" w:rsidRPr="006B0D08">
        <w:rPr>
          <w:b/>
          <w:bCs/>
          <w:color w:val="000000"/>
          <w:kern w:val="0"/>
          <w:sz w:val="24"/>
          <w:szCs w:val="24"/>
        </w:rPr>
        <w:t>11.6</w:t>
      </w:r>
      <w:r w:rsidR="001675CD" w:rsidRPr="006B0D08">
        <w:rPr>
          <w:b/>
          <w:bCs/>
          <w:color w:val="000000"/>
          <w:kern w:val="0"/>
          <w:sz w:val="24"/>
          <w:szCs w:val="24"/>
        </w:rPr>
        <w:t>投资组合报告附注的其他文字描述部分</w:t>
      </w:r>
    </w:p>
    <w:p w:rsidR="006B2FF6" w:rsidRDefault="002F3F89" w:rsidP="00E40D31">
      <w:pPr>
        <w:spacing w:before="29" w:line="288" w:lineRule="auto"/>
        <w:rPr>
          <w:color w:val="000000"/>
          <w:sz w:val="24"/>
          <w:szCs w:val="24"/>
        </w:rPr>
      </w:pPr>
      <w:r>
        <w:rPr>
          <w:rFonts w:hint="eastAsia"/>
          <w:color w:val="000000"/>
          <w:sz w:val="24"/>
          <w:szCs w:val="24"/>
        </w:rPr>
        <w:t>1</w:t>
      </w:r>
      <w:r>
        <w:rPr>
          <w:rFonts w:hint="eastAsia"/>
          <w:color w:val="000000"/>
          <w:sz w:val="24"/>
          <w:szCs w:val="24"/>
        </w:rPr>
        <w:t>、</w:t>
      </w:r>
      <w:r w:rsidRPr="002F3F89">
        <w:rPr>
          <w:rFonts w:hint="eastAsia"/>
          <w:color w:val="000000"/>
          <w:sz w:val="24"/>
          <w:szCs w:val="24"/>
        </w:rPr>
        <w:t>本基金本报告期末未持有处于交换期的可交换债券</w:t>
      </w:r>
      <w:bookmarkStart w:id="0" w:name="_GoBack"/>
      <w:bookmarkEnd w:id="0"/>
      <w:r w:rsidR="004061AC" w:rsidRPr="00414345">
        <w:rPr>
          <w:color w:val="000000"/>
          <w:sz w:val="24"/>
          <w:szCs w:val="24"/>
        </w:rPr>
        <w:t>。</w:t>
      </w:r>
    </w:p>
    <w:p w:rsidR="002F3F89" w:rsidRPr="00414345" w:rsidRDefault="002F3F89" w:rsidP="00E40D31">
      <w:pPr>
        <w:spacing w:before="29" w:line="288" w:lineRule="auto"/>
        <w:rPr>
          <w:rFonts w:hint="eastAsia"/>
          <w:color w:val="000000"/>
          <w:sz w:val="24"/>
          <w:szCs w:val="24"/>
        </w:rPr>
      </w:pPr>
      <w:r>
        <w:rPr>
          <w:rFonts w:hint="eastAsia"/>
          <w:color w:val="000000"/>
          <w:sz w:val="24"/>
          <w:szCs w:val="24"/>
        </w:rPr>
        <w:t>2</w:t>
      </w:r>
      <w:r>
        <w:rPr>
          <w:rFonts w:hint="eastAsia"/>
          <w:color w:val="000000"/>
          <w:sz w:val="24"/>
          <w:szCs w:val="24"/>
        </w:rPr>
        <w:t>、</w:t>
      </w:r>
      <w:r w:rsidRPr="00414345">
        <w:rPr>
          <w:color w:val="000000"/>
          <w:sz w:val="24"/>
          <w:szCs w:val="24"/>
        </w:rPr>
        <w:t>由于四舍五入的原因，分项之和与合计项之间可能存在尾差</w:t>
      </w:r>
      <w:r>
        <w:rPr>
          <w:rFonts w:hint="eastAsia"/>
          <w:color w:val="000000"/>
          <w:sz w:val="24"/>
          <w:szCs w:val="24"/>
        </w:rPr>
        <w:t>。</w:t>
      </w:r>
    </w:p>
    <w:p w:rsidR="006B2FF6" w:rsidRDefault="006B2FF6" w:rsidP="00C15CAC">
      <w:pPr>
        <w:spacing w:before="29" w:line="288" w:lineRule="auto"/>
        <w:ind w:firstLineChars="200" w:firstLine="480"/>
        <w:rPr>
          <w:color w:val="000000"/>
          <w:sz w:val="24"/>
          <w:szCs w:val="24"/>
        </w:rPr>
      </w:pPr>
    </w:p>
    <w:p w:rsidR="001F3E2A" w:rsidRDefault="001F3E2A" w:rsidP="00C15CAC">
      <w:pPr>
        <w:spacing w:before="29" w:line="288" w:lineRule="auto"/>
        <w:ind w:firstLineChars="200" w:firstLine="480"/>
        <w:rPr>
          <w:color w:val="000000"/>
          <w:sz w:val="24"/>
          <w:szCs w:val="24"/>
        </w:rPr>
      </w:pPr>
    </w:p>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11537B">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t>§</w:t>
      </w:r>
      <w:r w:rsidR="0072794E" w:rsidRPr="005A3D62">
        <w:rPr>
          <w:rFonts w:eastAsiaTheme="minorEastAsia"/>
          <w:color w:val="000000" w:themeColor="text1"/>
          <w:kern w:val="0"/>
          <w:sz w:val="24"/>
          <w:szCs w:val="24"/>
        </w:rPr>
        <w:t>6</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1,850,387,921.25</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357,435,141.08</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319,887,631.16</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1,887,935,431.17</w:t>
            </w:r>
          </w:p>
        </w:tc>
      </w:tr>
    </w:tbl>
    <w:p w:rsidR="001B6709" w:rsidRDefault="00FE052B">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 xml:space="preserve">    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11537B">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7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7.1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7.2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3C50AD" w:rsidRPr="00220C32" w:rsidRDefault="003C50AD" w:rsidP="0011537B">
      <w:pPr>
        <w:pStyle w:val="1"/>
        <w:spacing w:beforeLines="100" w:before="312" w:afterLines="100" w:after="312" w:line="360" w:lineRule="auto"/>
        <w:jc w:val="center"/>
        <w:rPr>
          <w:rFonts w:asciiTheme="minorEastAsia" w:eastAsiaTheme="minorEastAsia" w:hAnsiTheme="minorEastAsia"/>
          <w:color w:val="000000" w:themeColor="text1"/>
          <w:kern w:val="0"/>
          <w:sz w:val="24"/>
          <w:szCs w:val="24"/>
        </w:rPr>
      </w:pPr>
      <w:r w:rsidRPr="00220C32">
        <w:rPr>
          <w:rFonts w:asciiTheme="minorEastAsia" w:eastAsiaTheme="minorEastAsia" w:hAnsiTheme="minorEastAsia" w:hint="eastAsia"/>
          <w:color w:val="000000" w:themeColor="text1"/>
          <w:kern w:val="0"/>
          <w:sz w:val="24"/>
          <w:szCs w:val="24"/>
        </w:rPr>
        <w:t>§8</w:t>
      </w:r>
      <w:r w:rsidRPr="00220C32">
        <w:rPr>
          <w:rFonts w:asciiTheme="minorEastAsia" w:eastAsiaTheme="minorEastAsia" w:hAnsiTheme="minorEastAsia"/>
          <w:color w:val="000000" w:themeColor="text1"/>
          <w:kern w:val="0"/>
          <w:sz w:val="24"/>
          <w:szCs w:val="24"/>
        </w:rPr>
        <w:t xml:space="preserve">  </w:t>
      </w:r>
      <w:r w:rsidRPr="00220C32">
        <w:rPr>
          <w:rFonts w:asciiTheme="minorEastAsia" w:eastAsiaTheme="minorEastAsia" w:hAnsiTheme="minorEastAsia" w:hint="eastAsia"/>
          <w:color w:val="000000" w:themeColor="text1"/>
          <w:kern w:val="0"/>
          <w:sz w:val="24"/>
          <w:szCs w:val="24"/>
        </w:rPr>
        <w:t>影响投资者决策的其他重要信息</w:t>
      </w:r>
    </w:p>
    <w:p w:rsidR="003C50AD" w:rsidRPr="009A5C99" w:rsidRDefault="003C50AD" w:rsidP="003C50AD">
      <w:pPr>
        <w:autoSpaceDE w:val="0"/>
        <w:autoSpaceDN w:val="0"/>
        <w:adjustRightInd w:val="0"/>
        <w:spacing w:line="360" w:lineRule="auto"/>
        <w:jc w:val="left"/>
        <w:rPr>
          <w:rFonts w:ascii="宋体" w:hAnsi="宋体"/>
          <w:b/>
          <w:bCs/>
          <w:color w:val="000000"/>
          <w:kern w:val="0"/>
          <w:sz w:val="24"/>
          <w:szCs w:val="24"/>
        </w:rPr>
      </w:pPr>
      <w:r w:rsidRPr="009A5C99">
        <w:rPr>
          <w:rFonts w:ascii="宋体" w:hAnsi="宋体"/>
          <w:b/>
          <w:bCs/>
          <w:color w:val="000000"/>
          <w:kern w:val="0"/>
          <w:sz w:val="24"/>
          <w:szCs w:val="24"/>
        </w:rPr>
        <w:t>8.</w:t>
      </w:r>
      <w:r w:rsidRPr="009A5C99">
        <w:rPr>
          <w:rFonts w:ascii="宋体" w:hAnsi="宋体" w:hint="eastAsia"/>
          <w:b/>
          <w:bCs/>
          <w:color w:val="000000"/>
          <w:kern w:val="0"/>
          <w:sz w:val="24"/>
          <w:szCs w:val="24"/>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C50AD" w:rsidRPr="004F4D27" w:rsidTr="00424D30">
        <w:tc>
          <w:tcPr>
            <w:tcW w:w="993" w:type="dxa"/>
            <w:vMerge w:val="restart"/>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投资者类别</w:t>
            </w:r>
            <w:r w:rsidRPr="004F4D27">
              <w:rPr>
                <w:rFonts w:ascii="宋体" w:hAnsi="宋体"/>
                <w:color w:val="000000"/>
                <w:kern w:val="0"/>
              </w:rPr>
              <w:t xml:space="preserve">  </w:t>
            </w:r>
          </w:p>
        </w:tc>
        <w:tc>
          <w:tcPr>
            <w:tcW w:w="5670" w:type="dxa"/>
            <w:gridSpan w:val="5"/>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报告期内持有基金份额变化情况</w:t>
            </w:r>
          </w:p>
        </w:tc>
        <w:tc>
          <w:tcPr>
            <w:tcW w:w="2549" w:type="dxa"/>
            <w:gridSpan w:val="2"/>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报告期末持有基金情况</w:t>
            </w:r>
          </w:p>
        </w:tc>
      </w:tr>
      <w:tr w:rsidR="003C50AD" w:rsidRPr="004F4D27" w:rsidTr="00424D30">
        <w:tc>
          <w:tcPr>
            <w:tcW w:w="993" w:type="dxa"/>
            <w:vMerge/>
            <w:vAlign w:val="center"/>
          </w:tcPr>
          <w:p w:rsidR="003C50AD" w:rsidRPr="004F4D27" w:rsidRDefault="003C50AD" w:rsidP="00424D30">
            <w:pPr>
              <w:autoSpaceDE w:val="0"/>
              <w:autoSpaceDN w:val="0"/>
              <w:adjustRightInd w:val="0"/>
              <w:jc w:val="center"/>
              <w:rPr>
                <w:rFonts w:ascii="宋体" w:hAnsi="宋体"/>
                <w:b/>
                <w:bCs/>
                <w:color w:val="000000"/>
                <w:kern w:val="0"/>
              </w:rPr>
            </w:pPr>
          </w:p>
        </w:tc>
        <w:tc>
          <w:tcPr>
            <w:tcW w:w="992"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序号</w:t>
            </w:r>
          </w:p>
        </w:tc>
        <w:tc>
          <w:tcPr>
            <w:tcW w:w="1843"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持有基金份额比例达到或者超过20%的时间区间</w:t>
            </w:r>
          </w:p>
        </w:tc>
        <w:tc>
          <w:tcPr>
            <w:tcW w:w="851"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期初份额</w:t>
            </w:r>
          </w:p>
        </w:tc>
        <w:tc>
          <w:tcPr>
            <w:tcW w:w="850"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申购份额</w:t>
            </w:r>
          </w:p>
        </w:tc>
        <w:tc>
          <w:tcPr>
            <w:tcW w:w="1134" w:type="dxa"/>
            <w:vAlign w:val="center"/>
          </w:tcPr>
          <w:p w:rsidR="003C50AD" w:rsidRPr="004F4D27" w:rsidRDefault="003C50AD" w:rsidP="00424D30">
            <w:pPr>
              <w:widowControl/>
              <w:jc w:val="center"/>
              <w:rPr>
                <w:rFonts w:ascii="宋体" w:hAnsi="宋体"/>
                <w:b/>
                <w:bCs/>
                <w:color w:val="000000"/>
                <w:kern w:val="0"/>
              </w:rPr>
            </w:pPr>
            <w:r w:rsidRPr="004F4D27">
              <w:rPr>
                <w:rFonts w:ascii="宋体" w:hAnsi="宋体" w:hint="eastAsia"/>
                <w:color w:val="000000"/>
                <w:kern w:val="0"/>
              </w:rPr>
              <w:t>赎回份额</w:t>
            </w:r>
          </w:p>
        </w:tc>
        <w:tc>
          <w:tcPr>
            <w:tcW w:w="1419"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持有份额</w:t>
            </w:r>
          </w:p>
        </w:tc>
        <w:tc>
          <w:tcPr>
            <w:tcW w:w="1130" w:type="dxa"/>
            <w:vAlign w:val="center"/>
          </w:tcPr>
          <w:p w:rsidR="003C50AD" w:rsidRPr="004F4D27" w:rsidRDefault="003C50AD" w:rsidP="00424D30">
            <w:pPr>
              <w:autoSpaceDE w:val="0"/>
              <w:autoSpaceDN w:val="0"/>
              <w:adjustRightInd w:val="0"/>
              <w:jc w:val="center"/>
              <w:rPr>
                <w:rFonts w:ascii="宋体" w:hAnsi="宋体"/>
                <w:b/>
                <w:bCs/>
                <w:color w:val="000000"/>
                <w:kern w:val="0"/>
              </w:rPr>
            </w:pPr>
            <w:r w:rsidRPr="004F4D27">
              <w:rPr>
                <w:rFonts w:ascii="宋体" w:hAnsi="宋体" w:hint="eastAsia"/>
                <w:color w:val="000000"/>
                <w:kern w:val="0"/>
              </w:rPr>
              <w:t>份额占比</w:t>
            </w:r>
          </w:p>
        </w:tc>
      </w:tr>
      <w:tr w:rsidR="001B6709">
        <w:tc>
          <w:tcPr>
            <w:tcW w:w="993" w:type="dxa"/>
            <w:vMerge w:val="restart"/>
          </w:tcPr>
          <w:p w:rsidR="001B6709" w:rsidRDefault="001B6709"/>
          <w:p w:rsidR="001B6709" w:rsidRDefault="00FE052B">
            <w:r>
              <w:rPr>
                <w:rFonts w:ascii="宋体" w:hAnsi="宋体" w:hint="eastAsia"/>
                <w:bCs/>
                <w:color w:val="000000"/>
                <w:kern w:val="0"/>
              </w:rPr>
              <w:t>机构</w:t>
            </w:r>
          </w:p>
        </w:tc>
        <w:tc>
          <w:tcPr>
            <w:tcW w:w="992" w:type="dxa"/>
            <w:vAlign w:val="center"/>
          </w:tcPr>
          <w:p w:rsidR="001B6709" w:rsidRDefault="00FE052B">
            <w:pPr>
              <w:jc w:val="center"/>
            </w:pPr>
            <w:r>
              <w:rPr>
                <w:rFonts w:ascii="宋体" w:hAnsi="宋体"/>
                <w:color w:val="000000"/>
                <w:kern w:val="0"/>
              </w:rPr>
              <w:t>1</w:t>
            </w:r>
          </w:p>
        </w:tc>
        <w:tc>
          <w:tcPr>
            <w:tcW w:w="1843" w:type="dxa"/>
            <w:vAlign w:val="center"/>
          </w:tcPr>
          <w:p w:rsidR="001B6709" w:rsidRDefault="00FE052B">
            <w:pPr>
              <w:jc w:val="center"/>
            </w:pPr>
            <w:r>
              <w:rPr>
                <w:rFonts w:ascii="宋体" w:hAnsi="宋体"/>
                <w:color w:val="000000"/>
                <w:kern w:val="0"/>
              </w:rPr>
              <w:t>2019/7/1-2019/9/30</w:t>
            </w:r>
          </w:p>
        </w:tc>
        <w:tc>
          <w:tcPr>
            <w:tcW w:w="851" w:type="dxa"/>
            <w:vAlign w:val="center"/>
          </w:tcPr>
          <w:p w:rsidR="001B6709" w:rsidRDefault="00FE052B">
            <w:pPr>
              <w:jc w:val="center"/>
            </w:pPr>
            <w:r>
              <w:rPr>
                <w:rFonts w:ascii="宋体" w:hAnsi="宋体"/>
                <w:color w:val="000000"/>
                <w:kern w:val="0"/>
              </w:rPr>
              <w:t>377,073,152.34</w:t>
            </w:r>
          </w:p>
        </w:tc>
        <w:tc>
          <w:tcPr>
            <w:tcW w:w="850" w:type="dxa"/>
            <w:vAlign w:val="center"/>
          </w:tcPr>
          <w:p w:rsidR="001B6709" w:rsidRDefault="00FE052B">
            <w:pPr>
              <w:jc w:val="center"/>
            </w:pPr>
            <w:r>
              <w:rPr>
                <w:rFonts w:ascii="宋体" w:hAnsi="宋体"/>
                <w:color w:val="000000"/>
                <w:kern w:val="0"/>
              </w:rPr>
              <w:t>-</w:t>
            </w:r>
          </w:p>
        </w:tc>
        <w:tc>
          <w:tcPr>
            <w:tcW w:w="1134" w:type="dxa"/>
            <w:vAlign w:val="center"/>
          </w:tcPr>
          <w:p w:rsidR="001B6709" w:rsidRDefault="00FE052B">
            <w:pPr>
              <w:jc w:val="center"/>
            </w:pPr>
            <w:r>
              <w:rPr>
                <w:rFonts w:ascii="宋体" w:hAnsi="宋体"/>
                <w:color w:val="000000"/>
                <w:kern w:val="0"/>
              </w:rPr>
              <w:t>188,536,576.17</w:t>
            </w:r>
          </w:p>
        </w:tc>
        <w:tc>
          <w:tcPr>
            <w:tcW w:w="1419" w:type="dxa"/>
            <w:vAlign w:val="center"/>
          </w:tcPr>
          <w:p w:rsidR="001B6709" w:rsidRDefault="00FE052B">
            <w:pPr>
              <w:jc w:val="center"/>
            </w:pPr>
            <w:r>
              <w:rPr>
                <w:rFonts w:ascii="宋体" w:hAnsi="宋体"/>
                <w:color w:val="000000"/>
                <w:kern w:val="0"/>
              </w:rPr>
              <w:t>188,536,576.17</w:t>
            </w:r>
          </w:p>
        </w:tc>
        <w:tc>
          <w:tcPr>
            <w:tcW w:w="1130" w:type="dxa"/>
            <w:vAlign w:val="center"/>
          </w:tcPr>
          <w:p w:rsidR="001B6709" w:rsidRDefault="00FE052B">
            <w:pPr>
              <w:jc w:val="center"/>
            </w:pPr>
            <w:r>
              <w:rPr>
                <w:rFonts w:ascii="宋体" w:hAnsi="宋体"/>
                <w:color w:val="000000"/>
                <w:kern w:val="0"/>
              </w:rPr>
              <w:t>9.99%</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center"/>
              <w:rPr>
                <w:rFonts w:ascii="宋体" w:hAnsi="宋体"/>
                <w:kern w:val="0"/>
              </w:rPr>
            </w:pPr>
            <w:r w:rsidRPr="004F4D27">
              <w:rPr>
                <w:rFonts w:ascii="宋体" w:hAnsi="宋体"/>
                <w:color w:val="000000"/>
                <w:kern w:val="0"/>
              </w:rPr>
              <w:t>产品特有风险</w:t>
            </w:r>
          </w:p>
        </w:tc>
      </w:tr>
      <w:tr w:rsidR="003C50AD" w:rsidRPr="004F4D27" w:rsidTr="00424D30">
        <w:tc>
          <w:tcPr>
            <w:tcW w:w="9212" w:type="dxa"/>
            <w:gridSpan w:val="8"/>
            <w:vAlign w:val="center"/>
          </w:tcPr>
          <w:p w:rsidR="003C50AD" w:rsidRPr="004F4D27" w:rsidRDefault="003C50AD" w:rsidP="00424D30">
            <w:pPr>
              <w:autoSpaceDE w:val="0"/>
              <w:autoSpaceDN w:val="0"/>
              <w:adjustRightInd w:val="0"/>
              <w:jc w:val="left"/>
              <w:rPr>
                <w:rFonts w:ascii="宋体" w:hAnsi="宋体"/>
                <w:kern w:val="0"/>
              </w:rPr>
            </w:pPr>
            <w:r w:rsidRPr="004F4D27">
              <w:rPr>
                <w:rFonts w:ascii="宋体" w:hAnsi="宋体" w:hint="eastAsia"/>
                <w:kern w:val="0"/>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B22DEE" w:rsidRPr="00E02660" w:rsidRDefault="004061AC" w:rsidP="0011537B">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1B6709" w:rsidRDefault="00FE052B">
      <w:pPr>
        <w:spacing w:before="29" w:line="288" w:lineRule="auto"/>
        <w:ind w:firstLineChars="200" w:firstLine="480"/>
        <w:rPr>
          <w:color w:val="000000"/>
          <w:sz w:val="24"/>
          <w:szCs w:val="24"/>
        </w:rPr>
      </w:pPr>
      <w:r>
        <w:rPr>
          <w:color w:val="000000"/>
          <w:sz w:val="24"/>
          <w:szCs w:val="24"/>
        </w:rPr>
        <w:t>1</w:t>
      </w:r>
      <w:r>
        <w:rPr>
          <w:color w:val="000000"/>
          <w:sz w:val="24"/>
          <w:szCs w:val="24"/>
        </w:rPr>
        <w:t>、中国证监会核准交银施罗德信用添利债券证券投资基金募集的文件；</w:t>
      </w:r>
      <w:r>
        <w:rPr>
          <w:color w:val="000000"/>
          <w:sz w:val="24"/>
          <w:szCs w:val="24"/>
        </w:rPr>
        <w:t xml:space="preserve"> </w:t>
      </w:r>
    </w:p>
    <w:p w:rsidR="001B6709" w:rsidRDefault="00FE052B">
      <w:pPr>
        <w:spacing w:before="29" w:line="288" w:lineRule="auto"/>
        <w:ind w:firstLineChars="200" w:firstLine="480"/>
        <w:rPr>
          <w:color w:val="000000"/>
          <w:sz w:val="24"/>
          <w:szCs w:val="24"/>
        </w:rPr>
      </w:pPr>
      <w:r>
        <w:rPr>
          <w:color w:val="000000"/>
          <w:sz w:val="24"/>
          <w:szCs w:val="24"/>
        </w:rPr>
        <w:t>2</w:t>
      </w:r>
      <w:r>
        <w:rPr>
          <w:color w:val="000000"/>
          <w:sz w:val="24"/>
          <w:szCs w:val="24"/>
        </w:rPr>
        <w:t>、《交银施罗德信用添利债券证券投资基金基金合同》；</w:t>
      </w:r>
    </w:p>
    <w:p w:rsidR="001B6709" w:rsidRDefault="00FE052B">
      <w:pPr>
        <w:spacing w:before="29" w:line="288" w:lineRule="auto"/>
        <w:ind w:firstLineChars="200" w:firstLine="480"/>
        <w:rPr>
          <w:color w:val="000000"/>
          <w:sz w:val="24"/>
          <w:szCs w:val="24"/>
        </w:rPr>
      </w:pPr>
      <w:r>
        <w:rPr>
          <w:color w:val="000000"/>
          <w:sz w:val="24"/>
          <w:szCs w:val="24"/>
        </w:rPr>
        <w:t>3</w:t>
      </w:r>
      <w:r>
        <w:rPr>
          <w:color w:val="000000"/>
          <w:sz w:val="24"/>
          <w:szCs w:val="24"/>
        </w:rPr>
        <w:t>、《交银施罗德信用添利债券证券投资基金招募说明书》；</w:t>
      </w:r>
      <w:r>
        <w:rPr>
          <w:color w:val="000000"/>
          <w:sz w:val="24"/>
          <w:szCs w:val="24"/>
        </w:rPr>
        <w:t xml:space="preserve"> </w:t>
      </w:r>
    </w:p>
    <w:p w:rsidR="001B6709" w:rsidRDefault="00FE052B">
      <w:pPr>
        <w:spacing w:before="29" w:line="288" w:lineRule="auto"/>
        <w:ind w:firstLineChars="200" w:firstLine="480"/>
        <w:rPr>
          <w:color w:val="000000"/>
          <w:sz w:val="24"/>
          <w:szCs w:val="24"/>
        </w:rPr>
      </w:pPr>
      <w:r>
        <w:rPr>
          <w:color w:val="000000"/>
          <w:sz w:val="24"/>
          <w:szCs w:val="24"/>
        </w:rPr>
        <w:t>4</w:t>
      </w:r>
      <w:r>
        <w:rPr>
          <w:color w:val="000000"/>
          <w:sz w:val="24"/>
          <w:szCs w:val="24"/>
        </w:rPr>
        <w:t>、《交银施罗德信用添利债券证券投资基金托管协议》；</w:t>
      </w:r>
      <w:r>
        <w:rPr>
          <w:color w:val="000000"/>
          <w:sz w:val="24"/>
          <w:szCs w:val="24"/>
        </w:rPr>
        <w:t xml:space="preserve"> </w:t>
      </w:r>
    </w:p>
    <w:p w:rsidR="001B6709" w:rsidRDefault="00FE052B">
      <w:pPr>
        <w:spacing w:before="29" w:line="288" w:lineRule="auto"/>
        <w:ind w:firstLineChars="200" w:firstLine="480"/>
        <w:rPr>
          <w:color w:val="000000"/>
          <w:sz w:val="24"/>
          <w:szCs w:val="24"/>
        </w:rPr>
      </w:pPr>
      <w:r>
        <w:rPr>
          <w:color w:val="000000"/>
          <w:sz w:val="24"/>
          <w:szCs w:val="24"/>
        </w:rPr>
        <w:t>5</w:t>
      </w:r>
      <w:r>
        <w:rPr>
          <w:color w:val="000000"/>
          <w:sz w:val="24"/>
          <w:szCs w:val="24"/>
        </w:rPr>
        <w:t>、基金管理人业务资格批件、营业执照；</w:t>
      </w:r>
    </w:p>
    <w:p w:rsidR="001B6709" w:rsidRDefault="00FE052B">
      <w:pPr>
        <w:spacing w:before="29" w:line="288" w:lineRule="auto"/>
        <w:ind w:firstLineChars="200" w:firstLine="480"/>
        <w:rPr>
          <w:color w:val="000000"/>
          <w:sz w:val="24"/>
          <w:szCs w:val="24"/>
        </w:rPr>
      </w:pPr>
      <w:r>
        <w:rPr>
          <w:color w:val="000000"/>
          <w:sz w:val="24"/>
          <w:szCs w:val="24"/>
        </w:rPr>
        <w:t>6</w:t>
      </w:r>
      <w:r>
        <w:rPr>
          <w:color w:val="000000"/>
          <w:sz w:val="24"/>
          <w:szCs w:val="24"/>
        </w:rPr>
        <w:t>、基金托管人业务资格批件、营业执照；</w:t>
      </w:r>
    </w:p>
    <w:p w:rsidR="001B6709" w:rsidRDefault="00FE052B">
      <w:pPr>
        <w:spacing w:before="29" w:line="288" w:lineRule="auto"/>
        <w:ind w:firstLineChars="200" w:firstLine="480"/>
        <w:rPr>
          <w:color w:val="000000"/>
          <w:sz w:val="24"/>
          <w:szCs w:val="24"/>
        </w:rPr>
      </w:pPr>
      <w:r>
        <w:rPr>
          <w:color w:val="000000"/>
          <w:sz w:val="24"/>
          <w:szCs w:val="24"/>
        </w:rPr>
        <w:t>7</w:t>
      </w:r>
      <w:r>
        <w:rPr>
          <w:color w:val="000000"/>
          <w:sz w:val="24"/>
          <w:szCs w:val="24"/>
        </w:rPr>
        <w:t>、关于申请募集交银施罗德信用添利债券证券投资基金之法律意见书；</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、报告期内交银施罗德信用添利债券证券投资基金在指定报刊上各项公告的原稿。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1B6709" w:rsidRDefault="00FE052B">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A00" w:rsidRDefault="00B83A00" w:rsidP="00876D65">
      <w:r>
        <w:separator/>
      </w:r>
    </w:p>
  </w:endnote>
  <w:endnote w:type="continuationSeparator" w:id="0">
    <w:p w:rsidR="00B83A00" w:rsidRDefault="00B83A00"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altName w:val="Arial"/>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40C" w:rsidRPr="001D0DB0" w:rsidRDefault="004D340C" w:rsidP="004D340C">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2F3F89">
      <w:rPr>
        <w:noProof/>
        <w:kern w:val="0"/>
        <w:szCs w:val="21"/>
      </w:rPr>
      <w:t>9</w:t>
    </w:r>
    <w:r w:rsidR="00381EE8">
      <w:rPr>
        <w:kern w:val="0"/>
        <w:szCs w:val="21"/>
      </w:rPr>
      <w:fldChar w:fldCharType="end"/>
    </w:r>
    <w:r>
      <w:rPr>
        <w:rFonts w:hint="eastAsia"/>
        <w:kern w:val="0"/>
        <w:szCs w:val="21"/>
      </w:rPr>
      <w:t>页共</w:t>
    </w:r>
    <w:r w:rsidR="00381EE8">
      <w:rPr>
        <w:kern w:val="0"/>
        <w:szCs w:val="21"/>
      </w:rPr>
      <w:fldChar w:fldCharType="begin"/>
    </w:r>
    <w:r>
      <w:rPr>
        <w:kern w:val="0"/>
        <w:szCs w:val="21"/>
      </w:rPr>
      <w:instrText xml:space="preserve"> NUMPAGES </w:instrText>
    </w:r>
    <w:r w:rsidR="00381EE8">
      <w:rPr>
        <w:kern w:val="0"/>
        <w:szCs w:val="21"/>
      </w:rPr>
      <w:fldChar w:fldCharType="separate"/>
    </w:r>
    <w:r w:rsidR="002F3F89">
      <w:rPr>
        <w:noProof/>
        <w:kern w:val="0"/>
        <w:szCs w:val="21"/>
      </w:rPr>
      <w:t>13</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A00" w:rsidRDefault="00B83A00" w:rsidP="00876D65">
      <w:r>
        <w:separator/>
      </w:r>
    </w:p>
  </w:footnote>
  <w:footnote w:type="continuationSeparator" w:id="0">
    <w:p w:rsidR="00B83A00" w:rsidRDefault="00B83A00"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EF0" w:rsidRPr="00DC456F" w:rsidRDefault="00DC456F" w:rsidP="00090A26">
    <w:pPr>
      <w:pStyle w:val="a9"/>
      <w:pBdr>
        <w:bottom w:val="single" w:sz="6" w:space="0" w:color="auto"/>
      </w:pBdr>
      <w:jc w:val="right"/>
      <w:rPr>
        <w:sz w:val="24"/>
        <w:szCs w:val="24"/>
      </w:rPr>
    </w:pPr>
    <w:r w:rsidRPr="003E676C">
      <w:rPr>
        <w:sz w:val="24"/>
        <w:szCs w:val="24"/>
      </w:rPr>
      <w:t>交银施罗德信用添利债券证券投资基金（</w:t>
    </w:r>
    <w:r w:rsidRPr="003E676C">
      <w:rPr>
        <w:sz w:val="24"/>
        <w:szCs w:val="24"/>
      </w:rPr>
      <w:t>LOF</w:t>
    </w:r>
    <w:r w:rsidRPr="003E676C">
      <w:rPr>
        <w:sz w:val="24"/>
        <w:szCs w:val="24"/>
      </w:rPr>
      <w:t>）</w:t>
    </w:r>
    <w:r w:rsidRPr="003E676C">
      <w:rPr>
        <w:sz w:val="24"/>
        <w:szCs w:val="24"/>
      </w:rPr>
      <w:t>2019</w:t>
    </w:r>
    <w:r w:rsidRPr="003E676C">
      <w:rPr>
        <w:sz w:val="24"/>
        <w:szCs w:val="24"/>
      </w:rPr>
      <w:t>年第</w:t>
    </w:r>
    <w:r w:rsidRPr="003E676C">
      <w:rPr>
        <w:sz w:val="24"/>
        <w:szCs w:val="24"/>
      </w:rPr>
      <w:t>3</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93A" w:rsidRDefault="00D939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66A97"/>
    <w:rsid w:val="000815C0"/>
    <w:rsid w:val="000824E7"/>
    <w:rsid w:val="0008313A"/>
    <w:rsid w:val="00085E78"/>
    <w:rsid w:val="0008689B"/>
    <w:rsid w:val="00086D4E"/>
    <w:rsid w:val="000907D2"/>
    <w:rsid w:val="00090A26"/>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26E"/>
    <w:rsid w:val="001717D5"/>
    <w:rsid w:val="00171EF0"/>
    <w:rsid w:val="00173B44"/>
    <w:rsid w:val="001761D2"/>
    <w:rsid w:val="00176C21"/>
    <w:rsid w:val="0018138B"/>
    <w:rsid w:val="001830D7"/>
    <w:rsid w:val="00185A34"/>
    <w:rsid w:val="001934F6"/>
    <w:rsid w:val="00196E6C"/>
    <w:rsid w:val="001A280A"/>
    <w:rsid w:val="001A73E8"/>
    <w:rsid w:val="001B0A62"/>
    <w:rsid w:val="001B2F35"/>
    <w:rsid w:val="001B4DD6"/>
    <w:rsid w:val="001B5607"/>
    <w:rsid w:val="001B6709"/>
    <w:rsid w:val="001C0993"/>
    <w:rsid w:val="001C79F2"/>
    <w:rsid w:val="001D6A4B"/>
    <w:rsid w:val="001E4630"/>
    <w:rsid w:val="001F0964"/>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2F3F89"/>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5A47"/>
    <w:rsid w:val="003470E2"/>
    <w:rsid w:val="0035076C"/>
    <w:rsid w:val="00352719"/>
    <w:rsid w:val="0035383E"/>
    <w:rsid w:val="00355364"/>
    <w:rsid w:val="00364CCB"/>
    <w:rsid w:val="00365798"/>
    <w:rsid w:val="00372F16"/>
    <w:rsid w:val="00381EE8"/>
    <w:rsid w:val="0039085F"/>
    <w:rsid w:val="00394069"/>
    <w:rsid w:val="00396809"/>
    <w:rsid w:val="003A58DC"/>
    <w:rsid w:val="003A6061"/>
    <w:rsid w:val="003B3494"/>
    <w:rsid w:val="003B5E08"/>
    <w:rsid w:val="003B6FBC"/>
    <w:rsid w:val="003C32C0"/>
    <w:rsid w:val="003C50AD"/>
    <w:rsid w:val="003D2269"/>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6A8F"/>
    <w:rsid w:val="00427F58"/>
    <w:rsid w:val="00433805"/>
    <w:rsid w:val="00442F8D"/>
    <w:rsid w:val="00443869"/>
    <w:rsid w:val="00443ABF"/>
    <w:rsid w:val="00460575"/>
    <w:rsid w:val="00463EC0"/>
    <w:rsid w:val="00464787"/>
    <w:rsid w:val="00471408"/>
    <w:rsid w:val="00480B35"/>
    <w:rsid w:val="004858E0"/>
    <w:rsid w:val="00487A40"/>
    <w:rsid w:val="004917C3"/>
    <w:rsid w:val="00491C81"/>
    <w:rsid w:val="004934E9"/>
    <w:rsid w:val="004943C2"/>
    <w:rsid w:val="004949F3"/>
    <w:rsid w:val="004A0AA9"/>
    <w:rsid w:val="004A11A7"/>
    <w:rsid w:val="004A459C"/>
    <w:rsid w:val="004A7B1D"/>
    <w:rsid w:val="004B2AF4"/>
    <w:rsid w:val="004C0914"/>
    <w:rsid w:val="004C20CA"/>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4A5"/>
    <w:rsid w:val="005B09FA"/>
    <w:rsid w:val="005B2E9C"/>
    <w:rsid w:val="005B3CC0"/>
    <w:rsid w:val="005B4C8F"/>
    <w:rsid w:val="005B4F93"/>
    <w:rsid w:val="005B73D2"/>
    <w:rsid w:val="005D2B36"/>
    <w:rsid w:val="005E475E"/>
    <w:rsid w:val="005F118D"/>
    <w:rsid w:val="005F1F22"/>
    <w:rsid w:val="005F3996"/>
    <w:rsid w:val="005F3B8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0D08"/>
    <w:rsid w:val="006B11BB"/>
    <w:rsid w:val="006B2FF6"/>
    <w:rsid w:val="006B5457"/>
    <w:rsid w:val="006B5F69"/>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2639"/>
    <w:rsid w:val="007B4C04"/>
    <w:rsid w:val="007B5AFB"/>
    <w:rsid w:val="007B5F21"/>
    <w:rsid w:val="007C395A"/>
    <w:rsid w:val="007C5862"/>
    <w:rsid w:val="007D0922"/>
    <w:rsid w:val="007D100C"/>
    <w:rsid w:val="007E2686"/>
    <w:rsid w:val="007E57C0"/>
    <w:rsid w:val="007F29B1"/>
    <w:rsid w:val="007F6DD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868F3"/>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1009"/>
    <w:rsid w:val="009C5186"/>
    <w:rsid w:val="009C60F7"/>
    <w:rsid w:val="009D0952"/>
    <w:rsid w:val="009D1BD9"/>
    <w:rsid w:val="009E19A9"/>
    <w:rsid w:val="009E31DA"/>
    <w:rsid w:val="009E402C"/>
    <w:rsid w:val="009E7C6A"/>
    <w:rsid w:val="009F27F9"/>
    <w:rsid w:val="009F3659"/>
    <w:rsid w:val="009F4861"/>
    <w:rsid w:val="009F61BE"/>
    <w:rsid w:val="009F7643"/>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AF6FFB"/>
    <w:rsid w:val="00B11A78"/>
    <w:rsid w:val="00B11BE5"/>
    <w:rsid w:val="00B11F31"/>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3A00"/>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05E0"/>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39AB"/>
    <w:rsid w:val="00CE473F"/>
    <w:rsid w:val="00CE7169"/>
    <w:rsid w:val="00CF04CF"/>
    <w:rsid w:val="00CF2D3E"/>
    <w:rsid w:val="00CF6572"/>
    <w:rsid w:val="00D01FE6"/>
    <w:rsid w:val="00D02347"/>
    <w:rsid w:val="00D03EB3"/>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D7A00"/>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1826"/>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52B"/>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B5B536B-9DA6-4920-8EA4-43C10A5F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81632-54EE-4DB8-8F6B-6BFCE096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1825</TotalTime>
  <Pages>13</Pages>
  <Words>1183</Words>
  <Characters>6745</Characters>
  <Application>Microsoft Office Word</Application>
  <DocSecurity>0</DocSecurity>
  <Lines>56</Lines>
  <Paragraphs>15</Paragraphs>
  <ScaleCrop>false</ScaleCrop>
  <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biz-cailiqun</cp:lastModifiedBy>
  <cp:revision>599</cp:revision>
  <dcterms:created xsi:type="dcterms:W3CDTF">2012-10-16T06:07:00Z</dcterms:created>
  <dcterms:modified xsi:type="dcterms:W3CDTF">2019-10-16T11:19:00Z</dcterms:modified>
</cp:coreProperties>
</file>