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421,874,433.03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67,042,473.70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64,171,578.20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0.1617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598,338,649.04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13.17%</w:t>
            </w:r>
          </w:p>
        </w:tc>
        <w:tc>
          <w:tcPr>
            <w:vAlign w:val="center"/>
          </w:tcPr>
          <w:p>
            <w:pPr>
              <w:jc w:val="center"/>
            </w:pPr>
            <w:r>
              <w:rPr>
                <w:color w:val="000000"/>
                <w:sz w:val="24"/>
                <w:szCs w:val="24"/>
              </w:rPr>
              <w:t>0.89%</w:t>
            </w:r>
          </w:p>
        </w:tc>
        <w:tc>
          <w:tcPr>
            <w:vAlign w:val="center"/>
          </w:tcPr>
          <w:p>
            <w:pPr>
              <w:jc w:val="center"/>
            </w:pPr>
            <w:r>
              <w:rPr>
                <w:color w:val="000000"/>
                <w:sz w:val="24"/>
                <w:szCs w:val="24"/>
              </w:rPr>
              <w:t>0.45%</w:t>
            </w:r>
          </w:p>
        </w:tc>
        <w:tc>
          <w:tcPr>
            <w:vAlign w:val="center"/>
          </w:tcPr>
          <w:p>
            <w:pPr>
              <w:jc w:val="center"/>
            </w:pPr>
            <w:r>
              <w:rPr>
                <w:color w:val="000000"/>
                <w:sz w:val="24"/>
                <w:szCs w:val="24"/>
              </w:rPr>
              <w:t>0.57%</w:t>
            </w:r>
          </w:p>
        </w:tc>
        <w:tc>
          <w:tcPr>
            <w:vAlign w:val="center"/>
          </w:tcPr>
          <w:p>
            <w:pPr>
              <w:jc w:val="center"/>
            </w:pPr>
            <w:r>
              <w:rPr>
                <w:color w:val="000000"/>
                <w:sz w:val="24"/>
                <w:szCs w:val="24"/>
              </w:rPr>
              <w:t>12.72%</w:t>
            </w:r>
          </w:p>
        </w:tc>
        <w:tc>
          <w:tcPr>
            <w:vAlign w:val="center"/>
          </w:tcPr>
          <w:p>
            <w:pPr>
              <w:jc w:val="center"/>
            </w:pPr>
            <w:r>
              <w:rPr>
                <w:color w:val="000000"/>
                <w:sz w:val="24"/>
                <w:szCs w:val="24"/>
              </w:rPr>
              <w:t>0.32%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2019年三季度，国内经济数据延续放缓态势，但中美贸易冲突有所缓和。财政政策持续发力于基建、新能源、汽车家电以及旧改等方向。与此同时，央行进一步降准并引导LPR利率下行，缓解流动性压力。我们认为政策环境趋于宽松且在未来一段时间仍将维持，中期来看目前仍处于市场底部区域，下行风险不大。未来国内需求改善将对冲外需下滑的不确定性，因此市场仍然处于可为阶段。 </w:t>
      </w:r>
    </w:p>
    <w:p>
      <w:pPr>
        <w:spacing w:before="29" w:line="288" w:lineRule="auto"/>
        <w:ind w:firstLine="480" w:firstLineChars="200"/>
        <w:rPr>
          <w:color w:val="000000"/>
          <w:sz w:val="24"/>
          <w:szCs w:val="24"/>
        </w:rPr>
      </w:pPr>
      <w:r>
        <w:rPr>
          <w:color w:val="000000"/>
          <w:sz w:val="24"/>
          <w:szCs w:val="24"/>
        </w:rPr>
        <w:t>报告期内，本基金恢复到中性仓位，行业配置上维持了电子计算机等科技股的配置比例，但同时增持了医药及制造相关行业领域。</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我们认为如果贸易争端在年内继续趋于缓和，那么预计将出现更多的投资机会，市场的估值有望进一步抬升。伴随科创板及创业板中更多优质资产登陆资本市场，上市企业的分化会加大，拥有较好现金流以及商业壁垒的企业，与外部不利因素相关性低的行业公司仍是我们看好的主要方向，我们将继续关注受益于流动性宽松的金融板块，受益于进口替代的高端制造、半导体等领域，受益于技术升级的计算机、通信5G等行业，以及食品、医药等必须消费品。</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368,301,524.17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60.22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368,301,524.17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60.22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43,495,620.18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43,495,620.18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197,888,724.65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32.36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1,901,549.46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0.31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611,587,418.46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5,574,285.86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3,319,940.24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238,249,049.40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5,734,000.00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31,137,400.00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18,654,529.40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37,150,490.27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3,104,000.00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4,715,661.00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4,810,168.00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5,649,600.00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10,202,400.00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368,301,524.17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61.55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300529</w:t>
            </w:r>
          </w:p>
        </w:tc>
        <w:tc>
          <w:tcPr>
            <w:vAlign w:val="center"/>
          </w:tcPr>
          <w:p>
            <w:pPr>
              <w:jc w:val="center"/>
            </w:pPr>
            <w:r>
              <w:rPr>
                <w:color w:val="000000"/>
                <w:sz w:val="24"/>
                <w:szCs w:val="24"/>
              </w:rPr>
              <w:t>健帆生物</w:t>
            </w:r>
          </w:p>
        </w:tc>
        <w:tc>
          <w:tcPr>
            <w:vAlign w:val="center"/>
          </w:tcPr>
          <w:p>
            <w:pPr>
              <w:jc w:val="right"/>
            </w:pPr>
            <w:r>
              <w:rPr>
                <w:color w:val="000000"/>
                <w:sz w:val="24"/>
                <w:szCs w:val="24"/>
              </w:rPr>
              <w:t>451,100</w:t>
            </w:r>
          </w:p>
        </w:tc>
        <w:tc>
          <w:tcPr>
            <w:vAlign w:val="center"/>
          </w:tcPr>
          <w:p>
            <w:pPr>
              <w:jc w:val="right"/>
            </w:pPr>
            <w:r>
              <w:rPr>
                <w:color w:val="000000"/>
                <w:sz w:val="24"/>
                <w:szCs w:val="24"/>
              </w:rPr>
              <w:t>34,238,490.00</w:t>
            </w:r>
          </w:p>
        </w:tc>
        <w:tc>
          <w:tcPr>
            <w:vAlign w:val="center"/>
          </w:tcPr>
          <w:p>
            <w:pPr>
              <w:jc w:val="right"/>
            </w:pPr>
            <w:r>
              <w:rPr>
                <w:color w:val="000000"/>
                <w:sz w:val="24"/>
                <w:szCs w:val="24"/>
              </w:rPr>
              <w:t>5.72</w:t>
            </w:r>
          </w:p>
        </w:tc>
      </w:tr>
      <w:tr>
        <w:tc>
          <w:tcPr>
            <w:vAlign w:val="center"/>
          </w:tcPr>
          <w:p>
            <w:pPr>
              <w:jc w:val="center"/>
            </w:pPr>
            <w:r>
              <w:rPr>
                <w:color w:val="000000"/>
                <w:sz w:val="24"/>
                <w:szCs w:val="24"/>
              </w:rPr>
              <w:t>2</w:t>
            </w:r>
          </w:p>
        </w:tc>
        <w:tc>
          <w:tcPr>
            <w:vAlign w:val="center"/>
          </w:tcPr>
          <w:p>
            <w:pPr>
              <w:jc w:val="center"/>
            </w:pPr>
            <w:r>
              <w:rPr>
                <w:color w:val="000000"/>
                <w:sz w:val="24"/>
                <w:szCs w:val="24"/>
              </w:rPr>
              <w:t>300767</w:t>
            </w:r>
          </w:p>
        </w:tc>
        <w:tc>
          <w:tcPr>
            <w:vAlign w:val="center"/>
          </w:tcPr>
          <w:p>
            <w:pPr>
              <w:jc w:val="center"/>
            </w:pPr>
            <w:r>
              <w:rPr>
                <w:color w:val="000000"/>
                <w:sz w:val="24"/>
                <w:szCs w:val="24"/>
              </w:rPr>
              <w:t>震安科技</w:t>
            </w:r>
          </w:p>
        </w:tc>
        <w:tc>
          <w:tcPr>
            <w:vAlign w:val="center"/>
          </w:tcPr>
          <w:p>
            <w:pPr>
              <w:jc w:val="right"/>
            </w:pPr>
            <w:r>
              <w:rPr>
                <w:color w:val="000000"/>
                <w:sz w:val="24"/>
                <w:szCs w:val="24"/>
              </w:rPr>
              <w:t>662,700</w:t>
            </w:r>
          </w:p>
        </w:tc>
        <w:tc>
          <w:tcPr>
            <w:vAlign w:val="center"/>
          </w:tcPr>
          <w:p>
            <w:pPr>
              <w:jc w:val="right"/>
            </w:pPr>
            <w:r>
              <w:rPr>
                <w:color w:val="000000"/>
                <w:sz w:val="24"/>
                <w:szCs w:val="24"/>
              </w:rPr>
              <w:t>29,861,262.00</w:t>
            </w:r>
          </w:p>
        </w:tc>
        <w:tc>
          <w:tcPr>
            <w:vAlign w:val="center"/>
          </w:tcPr>
          <w:p>
            <w:pPr>
              <w:jc w:val="right"/>
            </w:pPr>
            <w:r>
              <w:rPr>
                <w:color w:val="000000"/>
                <w:sz w:val="24"/>
                <w:szCs w:val="24"/>
              </w:rPr>
              <w:t>4.99</w:t>
            </w:r>
          </w:p>
        </w:tc>
      </w:tr>
      <w:tr>
        <w:tc>
          <w:tcPr>
            <w:vAlign w:val="center"/>
          </w:tcPr>
          <w:p>
            <w:pPr>
              <w:jc w:val="center"/>
            </w:pPr>
            <w:r>
              <w:rPr>
                <w:color w:val="000000"/>
                <w:sz w:val="24"/>
                <w:szCs w:val="24"/>
              </w:rPr>
              <w:t>3</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582,300</w:t>
            </w:r>
          </w:p>
        </w:tc>
        <w:tc>
          <w:tcPr>
            <w:vAlign w:val="center"/>
          </w:tcPr>
          <w:p>
            <w:pPr>
              <w:jc w:val="right"/>
            </w:pPr>
            <w:r>
              <w:rPr>
                <w:color w:val="000000"/>
                <w:sz w:val="24"/>
                <w:szCs w:val="24"/>
              </w:rPr>
              <w:t>18,866,520.00</w:t>
            </w:r>
          </w:p>
        </w:tc>
        <w:tc>
          <w:tcPr>
            <w:vAlign w:val="center"/>
          </w:tcPr>
          <w:p>
            <w:pPr>
              <w:jc w:val="right"/>
            </w:pPr>
            <w:r>
              <w:rPr>
                <w:color w:val="000000"/>
                <w:sz w:val="24"/>
                <w:szCs w:val="24"/>
              </w:rPr>
              <w:t>3.15</w:t>
            </w:r>
          </w:p>
        </w:tc>
      </w:tr>
      <w:tr>
        <w:tc>
          <w:tcPr>
            <w:vAlign w:val="center"/>
          </w:tcPr>
          <w:p>
            <w:pPr>
              <w:jc w:val="center"/>
            </w:pPr>
            <w:r>
              <w:rPr>
                <w:color w:val="000000"/>
                <w:sz w:val="24"/>
                <w:szCs w:val="24"/>
              </w:rPr>
              <w:t>4</w:t>
            </w:r>
          </w:p>
        </w:tc>
        <w:tc>
          <w:tcPr>
            <w:vAlign w:val="center"/>
          </w:tcPr>
          <w:p>
            <w:pPr>
              <w:jc w:val="center"/>
            </w:pPr>
            <w:r>
              <w:rPr>
                <w:color w:val="000000"/>
                <w:sz w:val="24"/>
                <w:szCs w:val="24"/>
              </w:rPr>
              <w:t>601818</w:t>
            </w:r>
          </w:p>
        </w:tc>
        <w:tc>
          <w:tcPr>
            <w:vAlign w:val="center"/>
          </w:tcPr>
          <w:p>
            <w:pPr>
              <w:jc w:val="center"/>
            </w:pPr>
            <w:r>
              <w:rPr>
                <w:color w:val="000000"/>
                <w:sz w:val="24"/>
                <w:szCs w:val="24"/>
              </w:rPr>
              <w:t>光大银行</w:t>
            </w:r>
          </w:p>
        </w:tc>
        <w:tc>
          <w:tcPr>
            <w:vAlign w:val="center"/>
          </w:tcPr>
          <w:p>
            <w:pPr>
              <w:jc w:val="right"/>
            </w:pPr>
            <w:r>
              <w:rPr>
                <w:color w:val="000000"/>
                <w:sz w:val="24"/>
                <w:szCs w:val="24"/>
              </w:rPr>
              <w:t>4,400,000</w:t>
            </w:r>
          </w:p>
        </w:tc>
        <w:tc>
          <w:tcPr>
            <w:vAlign w:val="center"/>
          </w:tcPr>
          <w:p>
            <w:pPr>
              <w:jc w:val="right"/>
            </w:pPr>
            <w:r>
              <w:rPr>
                <w:color w:val="000000"/>
                <w:sz w:val="24"/>
                <w:szCs w:val="24"/>
              </w:rPr>
              <w:t>17,336,000.00</w:t>
            </w:r>
          </w:p>
        </w:tc>
        <w:tc>
          <w:tcPr>
            <w:vAlign w:val="center"/>
          </w:tcPr>
          <w:p>
            <w:pPr>
              <w:jc w:val="right"/>
            </w:pPr>
            <w:r>
              <w:rPr>
                <w:color w:val="000000"/>
                <w:sz w:val="24"/>
                <w:szCs w:val="24"/>
              </w:rPr>
              <w:t>2.90</w:t>
            </w:r>
          </w:p>
        </w:tc>
      </w:tr>
      <w:tr>
        <w:tc>
          <w:tcPr>
            <w:vAlign w:val="center"/>
          </w:tcPr>
          <w:p>
            <w:pPr>
              <w:jc w:val="center"/>
            </w:pPr>
            <w:r>
              <w:rPr>
                <w:color w:val="000000"/>
                <w:sz w:val="24"/>
                <w:szCs w:val="24"/>
              </w:rPr>
              <w:t>5</w:t>
            </w:r>
          </w:p>
        </w:tc>
        <w:tc>
          <w:tcPr>
            <w:vAlign w:val="center"/>
          </w:tcPr>
          <w:p>
            <w:pPr>
              <w:jc w:val="center"/>
            </w:pPr>
            <w:r>
              <w:rPr>
                <w:color w:val="000000"/>
                <w:sz w:val="24"/>
                <w:szCs w:val="24"/>
              </w:rPr>
              <w:t>603885</w:t>
            </w:r>
          </w:p>
        </w:tc>
        <w:tc>
          <w:tcPr>
            <w:vAlign w:val="center"/>
          </w:tcPr>
          <w:p>
            <w:pPr>
              <w:jc w:val="center"/>
            </w:pPr>
            <w:r>
              <w:rPr>
                <w:color w:val="000000"/>
                <w:sz w:val="24"/>
                <w:szCs w:val="24"/>
              </w:rPr>
              <w:t>吉祥航空</w:t>
            </w:r>
          </w:p>
        </w:tc>
        <w:tc>
          <w:tcPr>
            <w:vAlign w:val="center"/>
          </w:tcPr>
          <w:p>
            <w:pPr>
              <w:jc w:val="right"/>
            </w:pPr>
            <w:r>
              <w:rPr>
                <w:color w:val="000000"/>
                <w:sz w:val="24"/>
                <w:szCs w:val="24"/>
              </w:rPr>
              <w:t>1,220,000</w:t>
            </w:r>
          </w:p>
        </w:tc>
        <w:tc>
          <w:tcPr>
            <w:vAlign w:val="center"/>
          </w:tcPr>
          <w:p>
            <w:pPr>
              <w:jc w:val="right"/>
            </w:pPr>
            <w:r>
              <w:rPr>
                <w:color w:val="000000"/>
                <w:sz w:val="24"/>
                <w:szCs w:val="24"/>
              </w:rPr>
              <w:t>16,677,400.00</w:t>
            </w:r>
          </w:p>
        </w:tc>
        <w:tc>
          <w:tcPr>
            <w:vAlign w:val="center"/>
          </w:tcPr>
          <w:p>
            <w:pPr>
              <w:jc w:val="right"/>
            </w:pPr>
            <w:r>
              <w:rPr>
                <w:color w:val="000000"/>
                <w:sz w:val="24"/>
                <w:szCs w:val="24"/>
              </w:rPr>
              <w:t>2.79</w:t>
            </w:r>
          </w:p>
        </w:tc>
      </w:tr>
      <w:tr>
        <w:tc>
          <w:tcPr>
            <w:vAlign w:val="center"/>
          </w:tcPr>
          <w:p>
            <w:pPr>
              <w:jc w:val="center"/>
            </w:pPr>
            <w:r>
              <w:rPr>
                <w:color w:val="000000"/>
                <w:sz w:val="24"/>
                <w:szCs w:val="24"/>
              </w:rPr>
              <w:t>6</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1,294,200</w:t>
            </w:r>
          </w:p>
        </w:tc>
        <w:tc>
          <w:tcPr>
            <w:vAlign w:val="center"/>
          </w:tcPr>
          <w:p>
            <w:pPr>
              <w:jc w:val="right"/>
            </w:pPr>
            <w:r>
              <w:rPr>
                <w:color w:val="000000"/>
                <w:sz w:val="24"/>
                <w:szCs w:val="24"/>
              </w:rPr>
              <w:t>15,879,834.00</w:t>
            </w:r>
          </w:p>
        </w:tc>
        <w:tc>
          <w:tcPr>
            <w:vAlign w:val="center"/>
          </w:tcPr>
          <w:p>
            <w:pPr>
              <w:jc w:val="right"/>
            </w:pPr>
            <w:r>
              <w:rPr>
                <w:color w:val="000000"/>
                <w:sz w:val="24"/>
                <w:szCs w:val="24"/>
              </w:rPr>
              <w:t>2.65</w:t>
            </w:r>
          </w:p>
        </w:tc>
      </w:tr>
      <w:tr>
        <w:tc>
          <w:tcPr>
            <w:vAlign w:val="center"/>
          </w:tcPr>
          <w:p>
            <w:pPr>
              <w:jc w:val="center"/>
            </w:pPr>
            <w:r>
              <w:rPr>
                <w:color w:val="000000"/>
                <w:sz w:val="24"/>
                <w:szCs w:val="24"/>
              </w:rPr>
              <w:t>7</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1,597,414</w:t>
            </w:r>
          </w:p>
        </w:tc>
        <w:tc>
          <w:tcPr>
            <w:vAlign w:val="center"/>
          </w:tcPr>
          <w:p>
            <w:pPr>
              <w:jc w:val="right"/>
            </w:pPr>
            <w:r>
              <w:rPr>
                <w:color w:val="000000"/>
                <w:sz w:val="24"/>
                <w:szCs w:val="24"/>
              </w:rPr>
              <w:t>15,446,993.38</w:t>
            </w:r>
          </w:p>
        </w:tc>
        <w:tc>
          <w:tcPr>
            <w:vAlign w:val="center"/>
          </w:tcPr>
          <w:p>
            <w:pPr>
              <w:jc w:val="right"/>
            </w:pPr>
            <w:r>
              <w:rPr>
                <w:color w:val="000000"/>
                <w:sz w:val="24"/>
                <w:szCs w:val="24"/>
              </w:rPr>
              <w:t>2.58</w:t>
            </w:r>
          </w:p>
        </w:tc>
      </w:tr>
      <w:tr>
        <w:tc>
          <w:tcPr>
            <w:vAlign w:val="center"/>
          </w:tcPr>
          <w:p>
            <w:pPr>
              <w:jc w:val="center"/>
            </w:pPr>
            <w:r>
              <w:rPr>
                <w:color w:val="000000"/>
                <w:sz w:val="24"/>
                <w:szCs w:val="24"/>
              </w:rPr>
              <w:t>8</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870,000</w:t>
            </w:r>
          </w:p>
        </w:tc>
        <w:tc>
          <w:tcPr>
            <w:vAlign w:val="center"/>
          </w:tcPr>
          <w:p>
            <w:pPr>
              <w:jc w:val="right"/>
            </w:pPr>
            <w:r>
              <w:rPr>
                <w:color w:val="000000"/>
                <w:sz w:val="24"/>
                <w:szCs w:val="24"/>
              </w:rPr>
              <w:t>15,251,100.00</w:t>
            </w:r>
          </w:p>
        </w:tc>
        <w:tc>
          <w:tcPr>
            <w:vAlign w:val="center"/>
          </w:tcPr>
          <w:p>
            <w:pPr>
              <w:jc w:val="right"/>
            </w:pPr>
            <w:r>
              <w:rPr>
                <w:color w:val="000000"/>
                <w:sz w:val="24"/>
                <w:szCs w:val="24"/>
              </w:rPr>
              <w:t>2.55</w:t>
            </w:r>
          </w:p>
        </w:tc>
      </w:tr>
      <w:tr>
        <w:tc>
          <w:tcPr>
            <w:vAlign w:val="center"/>
          </w:tcPr>
          <w:p>
            <w:pPr>
              <w:jc w:val="center"/>
            </w:pPr>
            <w:r>
              <w:rPr>
                <w:color w:val="000000"/>
                <w:sz w:val="24"/>
                <w:szCs w:val="24"/>
              </w:rPr>
              <w:t>9</w:t>
            </w:r>
          </w:p>
        </w:tc>
        <w:tc>
          <w:tcPr>
            <w:vAlign w:val="center"/>
          </w:tcPr>
          <w:p>
            <w:pPr>
              <w:jc w:val="center"/>
            </w:pPr>
            <w:r>
              <w:rPr>
                <w:color w:val="000000"/>
                <w:sz w:val="24"/>
                <w:szCs w:val="24"/>
              </w:rPr>
              <w:t>300661</w:t>
            </w:r>
          </w:p>
        </w:tc>
        <w:tc>
          <w:tcPr>
            <w:vAlign w:val="center"/>
          </w:tcPr>
          <w:p>
            <w:pPr>
              <w:jc w:val="center"/>
            </w:pPr>
            <w:r>
              <w:rPr>
                <w:color w:val="000000"/>
                <w:sz w:val="24"/>
                <w:szCs w:val="24"/>
              </w:rPr>
              <w:t>圣邦股份</w:t>
            </w:r>
          </w:p>
        </w:tc>
        <w:tc>
          <w:tcPr>
            <w:vAlign w:val="center"/>
          </w:tcPr>
          <w:p>
            <w:pPr>
              <w:jc w:val="right"/>
            </w:pPr>
            <w:r>
              <w:rPr>
                <w:color w:val="000000"/>
                <w:sz w:val="24"/>
                <w:szCs w:val="24"/>
              </w:rPr>
              <w:t>92,526</w:t>
            </w:r>
          </w:p>
        </w:tc>
        <w:tc>
          <w:tcPr>
            <w:vAlign w:val="center"/>
          </w:tcPr>
          <w:p>
            <w:pPr>
              <w:jc w:val="right"/>
            </w:pPr>
            <w:r>
              <w:rPr>
                <w:color w:val="000000"/>
                <w:sz w:val="24"/>
                <w:szCs w:val="24"/>
              </w:rPr>
              <w:t>15,028,998.18</w:t>
            </w:r>
          </w:p>
        </w:tc>
        <w:tc>
          <w:tcPr>
            <w:vAlign w:val="center"/>
          </w:tcPr>
          <w:p>
            <w:pPr>
              <w:jc w:val="right"/>
            </w:pPr>
            <w:r>
              <w:rPr>
                <w:color w:val="000000"/>
                <w:sz w:val="24"/>
                <w:szCs w:val="24"/>
              </w:rPr>
              <w:t>2.51</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1,225,700</w:t>
            </w:r>
          </w:p>
        </w:tc>
        <w:tc>
          <w:tcPr>
            <w:vAlign w:val="center"/>
          </w:tcPr>
          <w:p>
            <w:pPr>
              <w:jc w:val="right"/>
            </w:pPr>
            <w:r>
              <w:rPr>
                <w:color w:val="000000"/>
                <w:sz w:val="24"/>
                <w:szCs w:val="24"/>
              </w:rPr>
              <w:t>14,034,265.00</w:t>
            </w:r>
          </w:p>
        </w:tc>
        <w:tc>
          <w:tcPr>
            <w:vAlign w:val="center"/>
          </w:tcPr>
          <w:p>
            <w:pPr>
              <w:jc w:val="right"/>
            </w:pPr>
            <w:r>
              <w:rPr>
                <w:color w:val="000000"/>
                <w:sz w:val="24"/>
                <w:szCs w:val="24"/>
              </w:rPr>
              <w:t>2.35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19,994,000.00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19,994,000.00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23,501,620.18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3.93</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43,495,620.18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7.27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19,994,000.00</w:t>
            </w:r>
          </w:p>
        </w:tc>
        <w:tc>
          <w:tcPr>
            <w:vAlign w:val="center"/>
          </w:tcPr>
          <w:p>
            <w:pPr>
              <w:jc w:val="right"/>
            </w:pPr>
            <w:r>
              <w:rPr>
                <w:color w:val="000000"/>
                <w:sz w:val="24"/>
                <w:szCs w:val="24"/>
              </w:rPr>
              <w:t>3.34</w:t>
            </w:r>
          </w:p>
        </w:tc>
      </w:tr>
      <w:tr>
        <w:tc>
          <w:tcPr>
            <w:vAlign w:val="center"/>
          </w:tcPr>
          <w:p>
            <w:pPr>
              <w:jc w:val="center"/>
            </w:pPr>
            <w:r>
              <w:rPr>
                <w:color w:val="000000"/>
                <w:sz w:val="24"/>
                <w:szCs w:val="24"/>
              </w:rPr>
              <w:t>2</w:t>
            </w:r>
          </w:p>
        </w:tc>
        <w:tc>
          <w:tcPr>
            <w:vAlign w:val="center"/>
          </w:tcPr>
          <w:p>
            <w:pPr>
              <w:jc w:val="center"/>
            </w:pPr>
            <w:r>
              <w:rPr>
                <w:color w:val="000000"/>
                <w:sz w:val="24"/>
                <w:szCs w:val="24"/>
              </w:rPr>
              <w:t>113020</w:t>
            </w:r>
          </w:p>
        </w:tc>
        <w:tc>
          <w:tcPr>
            <w:vAlign w:val="center"/>
          </w:tcPr>
          <w:p>
            <w:pPr>
              <w:jc w:val="center"/>
            </w:pPr>
            <w:r>
              <w:rPr>
                <w:color w:val="000000"/>
                <w:sz w:val="24"/>
                <w:szCs w:val="24"/>
              </w:rPr>
              <w:t>桐昆转债</w:t>
            </w:r>
          </w:p>
        </w:tc>
        <w:tc>
          <w:tcPr>
            <w:vAlign w:val="center"/>
          </w:tcPr>
          <w:p>
            <w:pPr>
              <w:jc w:val="right"/>
            </w:pPr>
            <w:r>
              <w:rPr>
                <w:color w:val="000000"/>
                <w:sz w:val="24"/>
                <w:szCs w:val="24"/>
              </w:rPr>
              <w:t>45,000</w:t>
            </w:r>
          </w:p>
        </w:tc>
        <w:tc>
          <w:tcPr>
            <w:vAlign w:val="center"/>
          </w:tcPr>
          <w:p>
            <w:pPr>
              <w:jc w:val="right"/>
            </w:pPr>
            <w:r>
              <w:rPr>
                <w:color w:val="000000"/>
                <w:sz w:val="24"/>
                <w:szCs w:val="24"/>
              </w:rPr>
              <w:t>5,323,050.00</w:t>
            </w:r>
          </w:p>
        </w:tc>
        <w:tc>
          <w:tcPr>
            <w:vAlign w:val="center"/>
          </w:tcPr>
          <w:p>
            <w:pPr>
              <w:jc w:val="right"/>
            </w:pPr>
            <w:r>
              <w:rPr>
                <w:color w:val="000000"/>
                <w:sz w:val="24"/>
                <w:szCs w:val="24"/>
              </w:rPr>
              <w:t>0.89</w:t>
            </w:r>
          </w:p>
        </w:tc>
      </w:tr>
      <w:tr>
        <w:tc>
          <w:tcPr>
            <w:vAlign w:val="center"/>
          </w:tcPr>
          <w:p>
            <w:pPr>
              <w:jc w:val="center"/>
            </w:pPr>
            <w:r>
              <w:rPr>
                <w:color w:val="000000"/>
                <w:sz w:val="24"/>
                <w:szCs w:val="24"/>
              </w:rPr>
              <w:t>3</w:t>
            </w:r>
          </w:p>
        </w:tc>
        <w:tc>
          <w:tcPr>
            <w:vAlign w:val="center"/>
          </w:tcPr>
          <w:p>
            <w:pPr>
              <w:jc w:val="center"/>
            </w:pPr>
            <w:r>
              <w:rPr>
                <w:color w:val="000000"/>
                <w:sz w:val="24"/>
                <w:szCs w:val="24"/>
              </w:rPr>
              <w:t>128061</w:t>
            </w:r>
          </w:p>
        </w:tc>
        <w:tc>
          <w:tcPr>
            <w:vAlign w:val="center"/>
          </w:tcPr>
          <w:p>
            <w:pPr>
              <w:jc w:val="center"/>
            </w:pPr>
            <w:r>
              <w:rPr>
                <w:color w:val="000000"/>
                <w:sz w:val="24"/>
                <w:szCs w:val="24"/>
              </w:rPr>
              <w:t>启明转债</w:t>
            </w:r>
          </w:p>
        </w:tc>
        <w:tc>
          <w:tcPr>
            <w:vAlign w:val="center"/>
          </w:tcPr>
          <w:p>
            <w:pPr>
              <w:jc w:val="right"/>
            </w:pPr>
            <w:r>
              <w:rPr>
                <w:color w:val="000000"/>
                <w:sz w:val="24"/>
                <w:szCs w:val="24"/>
              </w:rPr>
              <w:t>40,000</w:t>
            </w:r>
          </w:p>
        </w:tc>
        <w:tc>
          <w:tcPr>
            <w:vAlign w:val="center"/>
          </w:tcPr>
          <w:p>
            <w:pPr>
              <w:jc w:val="right"/>
            </w:pPr>
            <w:r>
              <w:rPr>
                <w:color w:val="000000"/>
                <w:sz w:val="24"/>
                <w:szCs w:val="24"/>
              </w:rPr>
              <w:t>5,033,600.00</w:t>
            </w:r>
          </w:p>
        </w:tc>
        <w:tc>
          <w:tcPr>
            <w:vAlign w:val="center"/>
          </w:tcPr>
          <w:p>
            <w:pPr>
              <w:jc w:val="right"/>
            </w:pPr>
            <w:r>
              <w:rPr>
                <w:color w:val="000000"/>
                <w:sz w:val="24"/>
                <w:szCs w:val="24"/>
              </w:rPr>
              <w:t>0.84</w:t>
            </w:r>
          </w:p>
        </w:tc>
      </w:tr>
      <w:tr>
        <w:tc>
          <w:tcPr>
            <w:vAlign w:val="center"/>
          </w:tcPr>
          <w:p>
            <w:pPr>
              <w:jc w:val="center"/>
            </w:pPr>
            <w:r>
              <w:rPr>
                <w:color w:val="000000"/>
                <w:sz w:val="24"/>
                <w:szCs w:val="24"/>
              </w:rPr>
              <w:t>4</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36,414</w:t>
            </w:r>
          </w:p>
        </w:tc>
        <w:tc>
          <w:tcPr>
            <w:vAlign w:val="center"/>
          </w:tcPr>
          <w:p>
            <w:pPr>
              <w:jc w:val="right"/>
            </w:pPr>
            <w:r>
              <w:rPr>
                <w:color w:val="000000"/>
                <w:sz w:val="24"/>
                <w:szCs w:val="24"/>
              </w:rPr>
              <w:t>4,083,465.96</w:t>
            </w:r>
          </w:p>
        </w:tc>
        <w:tc>
          <w:tcPr>
            <w:vAlign w:val="center"/>
          </w:tcPr>
          <w:p>
            <w:pPr>
              <w:jc w:val="right"/>
            </w:pPr>
            <w:r>
              <w:rPr>
                <w:color w:val="000000"/>
                <w:sz w:val="24"/>
                <w:szCs w:val="24"/>
              </w:rPr>
              <w:t>0.68</w:t>
            </w:r>
          </w:p>
        </w:tc>
      </w:tr>
      <w:tr>
        <w:tc>
          <w:tcPr>
            <w:vAlign w:val="center"/>
          </w:tcPr>
          <w:p>
            <w:pPr>
              <w:jc w:val="center"/>
            </w:pPr>
            <w:r>
              <w:rPr>
                <w:color w:val="000000"/>
                <w:sz w:val="24"/>
                <w:szCs w:val="24"/>
              </w:rPr>
              <w:t>5</w:t>
            </w:r>
          </w:p>
        </w:tc>
        <w:tc>
          <w:tcPr>
            <w:vAlign w:val="center"/>
          </w:tcPr>
          <w:p>
            <w:pPr>
              <w:jc w:val="center"/>
            </w:pPr>
            <w:r>
              <w:rPr>
                <w:color w:val="000000"/>
                <w:sz w:val="24"/>
                <w:szCs w:val="24"/>
              </w:rPr>
              <w:t>113525</w:t>
            </w:r>
          </w:p>
        </w:tc>
        <w:tc>
          <w:tcPr>
            <w:vAlign w:val="center"/>
          </w:tcPr>
          <w:p>
            <w:pPr>
              <w:jc w:val="center"/>
            </w:pPr>
            <w:r>
              <w:rPr>
                <w:color w:val="000000"/>
                <w:sz w:val="24"/>
                <w:szCs w:val="24"/>
              </w:rPr>
              <w:t>台华转债</w:t>
            </w:r>
          </w:p>
        </w:tc>
        <w:tc>
          <w:tcPr>
            <w:vAlign w:val="center"/>
          </w:tcPr>
          <w:p>
            <w:pPr>
              <w:jc w:val="right"/>
            </w:pPr>
            <w:r>
              <w:rPr>
                <w:color w:val="000000"/>
                <w:sz w:val="24"/>
                <w:szCs w:val="24"/>
              </w:rPr>
              <w:t>30,000</w:t>
            </w:r>
          </w:p>
        </w:tc>
        <w:tc>
          <w:tcPr>
            <w:vAlign w:val="center"/>
          </w:tcPr>
          <w:p>
            <w:pPr>
              <w:jc w:val="right"/>
            </w:pPr>
            <w:r>
              <w:rPr>
                <w:color w:val="000000"/>
                <w:sz w:val="24"/>
                <w:szCs w:val="24"/>
              </w:rPr>
              <w:t>3,232,500.00</w:t>
            </w:r>
          </w:p>
        </w:tc>
        <w:tc>
          <w:tcPr>
            <w:vAlign w:val="center"/>
          </w:tcPr>
          <w:p>
            <w:pPr>
              <w:jc w:val="right"/>
            </w:pPr>
            <w:r>
              <w:rPr>
                <w:color w:val="000000"/>
                <w:sz w:val="24"/>
                <w:szCs w:val="24"/>
              </w:rPr>
              <w:t>0.54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442,097.61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315,101.66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1,144,350.19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1,901,549.46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113020</w:t>
            </w:r>
          </w:p>
        </w:tc>
        <w:tc>
          <w:tcPr>
            <w:vAlign w:val="center"/>
          </w:tcPr>
          <w:p>
            <w:pPr>
              <w:jc w:val="center"/>
            </w:pPr>
            <w:r>
              <w:rPr>
                <w:color w:val="000000"/>
                <w:sz w:val="24"/>
                <w:szCs w:val="24"/>
              </w:rPr>
              <w:t>桐昆转债</w:t>
            </w:r>
          </w:p>
        </w:tc>
        <w:tc>
          <w:tcPr>
            <w:vAlign w:val="center"/>
          </w:tcPr>
          <w:p>
            <w:pPr>
              <w:jc w:val="right"/>
            </w:pPr>
            <w:r>
              <w:rPr>
                <w:color w:val="000000"/>
                <w:sz w:val="24"/>
                <w:szCs w:val="24"/>
              </w:rPr>
              <w:t>5,323,050.00</w:t>
            </w:r>
          </w:p>
        </w:tc>
        <w:tc>
          <w:tcPr>
            <w:vAlign w:val="center"/>
          </w:tcPr>
          <w:p>
            <w:pPr>
              <w:jc w:val="right"/>
            </w:pPr>
            <w:r>
              <w:rPr>
                <w:color w:val="000000"/>
                <w:sz w:val="24"/>
                <w:szCs w:val="24"/>
              </w:rPr>
              <w:t>0.89</w:t>
            </w:r>
          </w:p>
        </w:tc>
      </w:tr>
      <w:tr>
        <w:tc>
          <w:tcPr>
            <w:vAlign w:val="center"/>
          </w:tcPr>
          <w:p>
            <w:pPr>
              <w:jc w:val="center"/>
            </w:pPr>
            <w:r>
              <w:rPr>
                <w:color w:val="000000"/>
                <w:sz w:val="24"/>
                <w:szCs w:val="24"/>
              </w:rPr>
              <w:t>2</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4,083,465.96</w:t>
            </w:r>
          </w:p>
        </w:tc>
        <w:tc>
          <w:tcPr>
            <w:vAlign w:val="center"/>
          </w:tcPr>
          <w:p>
            <w:pPr>
              <w:jc w:val="right"/>
            </w:pPr>
            <w:r>
              <w:rPr>
                <w:color w:val="000000"/>
                <w:sz w:val="24"/>
                <w:szCs w:val="24"/>
              </w:rPr>
              <w:t>0.68</w:t>
            </w:r>
          </w:p>
        </w:tc>
      </w:tr>
      <w:tr>
        <w:tc>
          <w:tcPr>
            <w:vAlign w:val="center"/>
          </w:tcPr>
          <w:p>
            <w:pPr>
              <w:jc w:val="center"/>
            </w:pPr>
            <w:r>
              <w:rPr>
                <w:color w:val="000000"/>
                <w:sz w:val="24"/>
                <w:szCs w:val="24"/>
              </w:rPr>
              <w:t>3</w:t>
            </w:r>
          </w:p>
        </w:tc>
        <w:tc>
          <w:tcPr>
            <w:vAlign w:val="center"/>
          </w:tcPr>
          <w:p>
            <w:pPr>
              <w:jc w:val="center"/>
            </w:pPr>
            <w:r>
              <w:rPr>
                <w:color w:val="000000"/>
                <w:sz w:val="24"/>
                <w:szCs w:val="24"/>
              </w:rPr>
              <w:t>113525</w:t>
            </w:r>
          </w:p>
        </w:tc>
        <w:tc>
          <w:tcPr>
            <w:vAlign w:val="center"/>
          </w:tcPr>
          <w:p>
            <w:pPr>
              <w:jc w:val="center"/>
            </w:pPr>
            <w:r>
              <w:rPr>
                <w:color w:val="000000"/>
                <w:sz w:val="24"/>
                <w:szCs w:val="24"/>
              </w:rPr>
              <w:t>台华转债</w:t>
            </w:r>
          </w:p>
        </w:tc>
        <w:tc>
          <w:tcPr>
            <w:vAlign w:val="center"/>
          </w:tcPr>
          <w:p>
            <w:pPr>
              <w:jc w:val="right"/>
            </w:pPr>
            <w:r>
              <w:rPr>
                <w:color w:val="000000"/>
                <w:sz w:val="24"/>
                <w:szCs w:val="24"/>
              </w:rPr>
              <w:t>3,232,500.00</w:t>
            </w:r>
          </w:p>
        </w:tc>
        <w:tc>
          <w:tcPr>
            <w:vAlign w:val="center"/>
          </w:tcPr>
          <w:p>
            <w:pPr>
              <w:jc w:val="right"/>
            </w:pPr>
            <w:r>
              <w:rPr>
                <w:color w:val="000000"/>
                <w:sz w:val="24"/>
                <w:szCs w:val="24"/>
              </w:rPr>
              <w:t>0.54</w:t>
            </w:r>
          </w:p>
        </w:tc>
      </w:tr>
      <w:tr>
        <w:tc>
          <w:tcPr>
            <w:vAlign w:val="center"/>
          </w:tcPr>
          <w:p>
            <w:pPr>
              <w:jc w:val="center"/>
            </w:pPr>
            <w:r>
              <w:rPr>
                <w:color w:val="000000"/>
                <w:sz w:val="24"/>
                <w:szCs w:val="24"/>
              </w:rPr>
              <w:t>4</w:t>
            </w:r>
          </w:p>
        </w:tc>
        <w:tc>
          <w:tcPr>
            <w:vAlign w:val="center"/>
          </w:tcPr>
          <w:p>
            <w:pPr>
              <w:jc w:val="center"/>
            </w:pPr>
            <w:r>
              <w:rPr>
                <w:color w:val="000000"/>
                <w:sz w:val="24"/>
                <w:szCs w:val="24"/>
              </w:rPr>
              <w:t>128045</w:t>
            </w:r>
          </w:p>
        </w:tc>
        <w:tc>
          <w:tcPr>
            <w:vAlign w:val="center"/>
          </w:tcPr>
          <w:p>
            <w:pPr>
              <w:jc w:val="center"/>
            </w:pPr>
            <w:r>
              <w:rPr>
                <w:color w:val="000000"/>
                <w:sz w:val="24"/>
                <w:szCs w:val="24"/>
              </w:rPr>
              <w:t>机电转债</w:t>
            </w:r>
          </w:p>
        </w:tc>
        <w:tc>
          <w:tcPr>
            <w:vAlign w:val="center"/>
          </w:tcPr>
          <w:p>
            <w:pPr>
              <w:jc w:val="right"/>
            </w:pPr>
            <w:r>
              <w:rPr>
                <w:color w:val="000000"/>
                <w:sz w:val="24"/>
                <w:szCs w:val="24"/>
              </w:rPr>
              <w:t>3,205,325.52</w:t>
            </w:r>
          </w:p>
        </w:tc>
        <w:tc>
          <w:tcPr>
            <w:vAlign w:val="center"/>
          </w:tcPr>
          <w:p>
            <w:pPr>
              <w:jc w:val="right"/>
            </w:pPr>
            <w:r>
              <w:rPr>
                <w:color w:val="000000"/>
                <w:sz w:val="24"/>
                <w:szCs w:val="24"/>
              </w:rPr>
              <w:t>0.54</w:t>
            </w:r>
          </w:p>
        </w:tc>
      </w:tr>
      <w:tr>
        <w:tc>
          <w:tcPr>
            <w:vAlign w:val="center"/>
          </w:tcPr>
          <w:p>
            <w:pPr>
              <w:jc w:val="center"/>
            </w:pPr>
            <w:r>
              <w:rPr>
                <w:color w:val="000000"/>
                <w:sz w:val="24"/>
                <w:szCs w:val="24"/>
              </w:rPr>
              <w:t>5</w:t>
            </w:r>
          </w:p>
        </w:tc>
        <w:tc>
          <w:tcPr>
            <w:vAlign w:val="center"/>
          </w:tcPr>
          <w:p>
            <w:pPr>
              <w:jc w:val="center"/>
            </w:pPr>
            <w:r>
              <w:rPr>
                <w:color w:val="000000"/>
                <w:sz w:val="24"/>
                <w:szCs w:val="24"/>
              </w:rPr>
              <w:t>110048</w:t>
            </w:r>
          </w:p>
        </w:tc>
        <w:tc>
          <w:tcPr>
            <w:vAlign w:val="center"/>
          </w:tcPr>
          <w:p>
            <w:pPr>
              <w:jc w:val="center"/>
            </w:pPr>
            <w:r>
              <w:rPr>
                <w:color w:val="000000"/>
                <w:sz w:val="24"/>
                <w:szCs w:val="24"/>
              </w:rPr>
              <w:t>福能转债</w:t>
            </w:r>
          </w:p>
        </w:tc>
        <w:tc>
          <w:tcPr>
            <w:vAlign w:val="center"/>
          </w:tcPr>
          <w:p>
            <w:pPr>
              <w:jc w:val="right"/>
            </w:pPr>
            <w:r>
              <w:rPr>
                <w:color w:val="000000"/>
                <w:sz w:val="24"/>
                <w:szCs w:val="24"/>
              </w:rPr>
              <w:t>2,327,000.00</w:t>
            </w:r>
          </w:p>
        </w:tc>
        <w:tc>
          <w:tcPr>
            <w:vAlign w:val="center"/>
          </w:tcPr>
          <w:p>
            <w:pPr>
              <w:jc w:val="right"/>
            </w:pPr>
            <w:r>
              <w:rPr>
                <w:color w:val="000000"/>
                <w:sz w:val="24"/>
                <w:szCs w:val="24"/>
              </w:rPr>
              <w:t>0.39</w:t>
            </w:r>
          </w:p>
        </w:tc>
      </w:tr>
      <w:tr>
        <w:tc>
          <w:tcPr>
            <w:vAlign w:val="center"/>
          </w:tcPr>
          <w:p>
            <w:pPr>
              <w:jc w:val="center"/>
            </w:pPr>
            <w:r>
              <w:rPr>
                <w:color w:val="000000"/>
                <w:sz w:val="24"/>
                <w:szCs w:val="24"/>
              </w:rPr>
              <w:t>6</w:t>
            </w:r>
          </w:p>
        </w:tc>
        <w:tc>
          <w:tcPr>
            <w:vAlign w:val="center"/>
          </w:tcPr>
          <w:p>
            <w:pPr>
              <w:jc w:val="center"/>
            </w:pPr>
            <w:r>
              <w:rPr>
                <w:color w:val="000000"/>
                <w:sz w:val="24"/>
                <w:szCs w:val="24"/>
              </w:rPr>
              <w:t>113517</w:t>
            </w:r>
          </w:p>
        </w:tc>
        <w:tc>
          <w:tcPr>
            <w:vAlign w:val="center"/>
          </w:tcPr>
          <w:p>
            <w:pPr>
              <w:jc w:val="center"/>
            </w:pPr>
            <w:r>
              <w:rPr>
                <w:color w:val="000000"/>
                <w:sz w:val="24"/>
                <w:szCs w:val="24"/>
              </w:rPr>
              <w:t>曙光转债</w:t>
            </w:r>
          </w:p>
        </w:tc>
        <w:tc>
          <w:tcPr>
            <w:vAlign w:val="center"/>
          </w:tcPr>
          <w:p>
            <w:pPr>
              <w:jc w:val="right"/>
            </w:pPr>
            <w:r>
              <w:rPr>
                <w:color w:val="000000"/>
                <w:sz w:val="24"/>
                <w:szCs w:val="24"/>
              </w:rPr>
              <w:t>296,678.70</w:t>
            </w:r>
          </w:p>
        </w:tc>
        <w:tc>
          <w:tcPr>
            <w:vAlign w:val="center"/>
          </w:tcPr>
          <w:p>
            <w:pPr>
              <w:jc w:val="right"/>
            </w:pPr>
            <w:r>
              <w:rPr>
                <w:color w:val="000000"/>
                <w:sz w:val="24"/>
                <w:szCs w:val="24"/>
              </w:rPr>
              <w:t>0.05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300661</w:t>
            </w:r>
          </w:p>
        </w:tc>
        <w:tc>
          <w:tcPr>
            <w:vAlign w:val="center"/>
          </w:tcPr>
          <w:p>
            <w:pPr>
              <w:jc w:val="center"/>
            </w:pPr>
            <w:r>
              <w:rPr>
                <w:color w:val="000000"/>
                <w:sz w:val="24"/>
                <w:szCs w:val="24"/>
              </w:rPr>
              <w:t>圣邦股份</w:t>
            </w:r>
          </w:p>
        </w:tc>
        <w:tc>
          <w:tcPr>
            <w:vAlign w:val="center"/>
          </w:tcPr>
          <w:p>
            <w:pPr>
              <w:jc w:val="right"/>
            </w:pPr>
            <w:r>
              <w:rPr>
                <w:color w:val="000000"/>
                <w:sz w:val="24"/>
                <w:szCs w:val="24"/>
              </w:rPr>
              <w:t>15,028,998.18</w:t>
            </w:r>
          </w:p>
        </w:tc>
        <w:tc>
          <w:tcPr>
            <w:vAlign w:val="center"/>
          </w:tcPr>
          <w:p>
            <w:pPr>
              <w:jc w:val="right"/>
            </w:pPr>
            <w:r>
              <w:rPr>
                <w:color w:val="000000"/>
                <w:sz w:val="24"/>
                <w:szCs w:val="24"/>
              </w:rPr>
              <w:t>2.51</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455,862,663.54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105,531,466.13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139,519,696.64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421,874,433.03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交银施罗德主题优选灵活配置混合型证券投资基金2019年第3季度报告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