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交银施罗德沪港深价值精选灵活配置混合型证券投资基金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2016年11月7日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357,405,201.18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沪深300指数收益率×40%+恒生指数收益率×40%+中证综合债券指数收益率×20%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本基金是一只混合型基金，其风险和预期收益高于债券型基金和货币市场基金，低于股票型基金。属于承担较高风险、预期收益较高的证券投资基金品种。</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36,570,834.85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37,367,483.43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0.0951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430,136,057.28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7.99%</w:t>
            </w:r>
          </w:p>
        </w:tc>
        <w:tc>
          <w:tcPr>
            <w:vAlign w:val="center"/>
          </w:tcPr>
          <w:p>
            <w:pPr>
              <w:jc w:val="center"/>
            </w:pPr>
            <w:r>
              <w:rPr>
                <w:color w:val="000000"/>
                <w:sz w:val="24"/>
                <w:szCs w:val="24"/>
              </w:rPr>
              <w:t>0.95%</w:t>
            </w:r>
          </w:p>
        </w:tc>
        <w:tc>
          <w:tcPr>
            <w:vAlign w:val="center"/>
          </w:tcPr>
          <w:p>
            <w:pPr>
              <w:jc w:val="center"/>
            </w:pPr>
            <w:r>
              <w:rPr>
                <w:color w:val="000000"/>
                <w:sz w:val="24"/>
                <w:szCs w:val="24"/>
              </w:rPr>
              <w:t>-3.28%</w:t>
            </w:r>
          </w:p>
        </w:tc>
        <w:tc>
          <w:tcPr>
            <w:vAlign w:val="center"/>
          </w:tcPr>
          <w:p>
            <w:pPr>
              <w:jc w:val="center"/>
            </w:pPr>
            <w:r>
              <w:rPr>
                <w:color w:val="000000"/>
                <w:sz w:val="24"/>
                <w:szCs w:val="24"/>
              </w:rPr>
              <w:t>0.69%</w:t>
            </w:r>
          </w:p>
        </w:tc>
        <w:tc>
          <w:tcPr>
            <w:vAlign w:val="center"/>
          </w:tcPr>
          <w:p>
            <w:pPr>
              <w:jc w:val="center"/>
            </w:pPr>
            <w:r>
              <w:rPr>
                <w:color w:val="000000"/>
                <w:sz w:val="24"/>
                <w:szCs w:val="24"/>
              </w:rPr>
              <w:t>11.27%</w:t>
            </w:r>
          </w:p>
        </w:tc>
        <w:tc>
          <w:tcPr>
            <w:vAlign w:val="center"/>
          </w:tcPr>
          <w:p>
            <w:pPr>
              <w:jc w:val="center"/>
            </w:pPr>
            <w:r>
              <w:rPr>
                <w:color w:val="000000"/>
                <w:sz w:val="24"/>
                <w:szCs w:val="24"/>
              </w:rPr>
              <w:t>0.26%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交银施罗德沪港深价值精选灵活配置混合型证券投资基金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2016年11月7日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陈俊华</w:t>
            </w:r>
          </w:p>
        </w:tc>
        <w:tc>
          <w:tcPr>
            <w:vAlign w:val="center"/>
          </w:tcPr>
          <w:p>
            <w:pPr>
              <w:jc w:val="center"/>
            </w:pPr>
            <w:r>
              <w:rPr>
                <w:color w:val="000000"/>
                <w:sz w:val="24"/>
                <w:szCs w:val="24"/>
              </w:rPr>
              <w:t>交银环球精选混合(QDII)、交银沪港深价值精选混合、交银核心资产混合的基金经理，公司跨境投资副总监</w:t>
            </w:r>
          </w:p>
        </w:tc>
        <w:tc>
          <w:tcPr>
            <w:vAlign w:val="center"/>
          </w:tcPr>
          <w:p>
            <w:pPr>
              <w:jc w:val="center"/>
            </w:pPr>
            <w:r>
              <w:rPr>
                <w:color w:val="000000"/>
                <w:sz w:val="24"/>
                <w:szCs w:val="24"/>
              </w:rPr>
              <w:t>2016-11-07</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陈俊华女士，中国国籍，上海交通大学金融学硕士。历任国泰君安证券研究部研究员、中国国际金融有限公司研究部公用事业组负责人。2015年加入交银施罗德基金管理有限公司。2015年11月21日至2019年9月19日担任交银施罗德全球自然资源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全球股市大部分下跌，仅有A股取得显著正收益。A股在科技板块的带动下，普遍取得正收益。海外投资者的关注点主要在于：经济衰退引发负利率，资金再次回流债市，风险偏好下降。而港股受海外和本地因素影响更大，单三季度下跌超过5个点。从市场热点来看，三季度市场关注焦点仍在5G、云计算以及网络安全等领域，而消费、制造业则表现一般。</w:t>
      </w:r>
    </w:p>
    <w:p>
      <w:pPr>
        <w:spacing w:before="29" w:line="288" w:lineRule="auto"/>
        <w:ind w:firstLine="480" w:firstLineChars="200"/>
        <w:rPr>
          <w:color w:val="000000"/>
          <w:sz w:val="24"/>
          <w:szCs w:val="24"/>
        </w:rPr>
      </w:pPr>
      <w:r>
        <w:rPr>
          <w:color w:val="000000"/>
          <w:sz w:val="24"/>
          <w:szCs w:val="24"/>
        </w:rPr>
        <w:t>回顾2019年三季度，我们维持高仓位运行，同时优化消费、制造和科技板块的选股，更加集中向细分龙头配置，减少二线品种。判断业绩确定性和增长前景，仍是我们筛选股票的出发点。从我们对于中报的学习分析，我们发现：行业一线公司和二线公司的利润率趋势有了较为明显的差异。此外，我们注意到五月开始的减税降费，已体现在部分公司的报表中，尽管收入增速下滑、竞争加剧，但企业毛利率并未发生恶化。受到巨大科技红利（5G推广、网络安全投资等）的带动，科技股业绩、估值都出现了快速提升，而消费、制造板块部分个股，尽管业绩企稳，但投资者普遍担心其盈利前景，估值仍处中低水平。</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我们谨慎乐观，我们将继续在制造、消费和科技领域寻找拥有产业链竞争优势的企业，尤其是2020年公司基本面有加速改善潜质的企业。市场层面，A股短期涨幅较大，预计会有波动，港股仍在筑底、恢复信心阶段。但从基本面因素来看，流动性仍宽裕：低利率趋势仍将持续、海外资金继续流入中国；企业基本面有望好于预期：减税降费、龙头的规模优势都在持续发挥作用。我们会继续延续产业链比较研究的思路，勤勉尽责地积极调研，努力挖掘投资标的，争取为投资人赚取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359,392,339.93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82.95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359,392,339.93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82.95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29,991,000.00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29,991,000.00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37,368,338.28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6,521,695.72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1.51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433,273,373.93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5,632,591.50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1.31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142,204,934.91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11,980,000.00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7,884,000.00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62,060,188.48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39,985,651.80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4,643,158.88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274,390,525.57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63.79</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公允价值（人民币）</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非日常生活消费品</w:t>
            </w:r>
          </w:p>
        </w:tc>
        <w:tc>
          <w:tcPr>
            <w:vAlign w:val="center"/>
          </w:tcPr>
          <w:p>
            <w:pPr>
              <w:jc w:val="center"/>
            </w:pPr>
            <w:r>
              <w:rPr>
                <w:color w:val="000000"/>
                <w:sz w:val="24"/>
              </w:rPr>
              <w:t>27,502,284.90</w:t>
            </w:r>
          </w:p>
        </w:tc>
        <w:tc>
          <w:tcPr>
            <w:vAlign w:val="center"/>
          </w:tcPr>
          <w:p>
            <w:pPr>
              <w:jc w:val="center"/>
            </w:pPr>
            <w:r>
              <w:rPr>
                <w:color w:val="000000"/>
                <w:sz w:val="24"/>
              </w:rPr>
              <w:t>6.39</w:t>
            </w:r>
          </w:p>
        </w:tc>
      </w:tr>
      <w:tr>
        <w:tc>
          <w:tcPr>
            <w:vAlign w:val="center"/>
          </w:tcPr>
          <w:p>
            <w:pPr>
              <w:jc w:val="center"/>
            </w:pPr>
            <w:r>
              <w:rPr>
                <w:color w:val="000000"/>
                <w:sz w:val="24"/>
              </w:rPr>
              <w:t>工业</w:t>
            </w:r>
          </w:p>
        </w:tc>
        <w:tc>
          <w:tcPr>
            <w:vAlign w:val="center"/>
          </w:tcPr>
          <w:p>
            <w:pPr>
              <w:jc w:val="center"/>
            </w:pPr>
            <w:r>
              <w:rPr>
                <w:color w:val="000000"/>
                <w:sz w:val="24"/>
              </w:rPr>
              <w:t>2,061,994.86</w:t>
            </w:r>
          </w:p>
        </w:tc>
        <w:tc>
          <w:tcPr>
            <w:vAlign w:val="center"/>
          </w:tcPr>
          <w:p>
            <w:pPr>
              <w:jc w:val="center"/>
            </w:pPr>
            <w:r>
              <w:rPr>
                <w:color w:val="000000"/>
                <w:sz w:val="24"/>
              </w:rPr>
              <w:t>0.48</w:t>
            </w:r>
          </w:p>
        </w:tc>
      </w:tr>
      <w:tr>
        <w:tc>
          <w:tcPr>
            <w:vAlign w:val="center"/>
          </w:tcPr>
          <w:p>
            <w:pPr>
              <w:jc w:val="center"/>
            </w:pPr>
            <w:r>
              <w:rPr>
                <w:color w:val="000000"/>
                <w:sz w:val="24"/>
              </w:rPr>
              <w:t>金融</w:t>
            </w:r>
          </w:p>
        </w:tc>
        <w:tc>
          <w:tcPr>
            <w:vAlign w:val="center"/>
          </w:tcPr>
          <w:p>
            <w:pPr>
              <w:jc w:val="center"/>
            </w:pPr>
            <w:r>
              <w:rPr>
                <w:color w:val="000000"/>
                <w:sz w:val="24"/>
              </w:rPr>
              <w:t>20,583,868.20</w:t>
            </w:r>
          </w:p>
        </w:tc>
        <w:tc>
          <w:tcPr>
            <w:vAlign w:val="center"/>
          </w:tcPr>
          <w:p>
            <w:pPr>
              <w:jc w:val="center"/>
            </w:pPr>
            <w:r>
              <w:rPr>
                <w:color w:val="000000"/>
                <w:sz w:val="24"/>
              </w:rPr>
              <w:t>4.79</w:t>
            </w:r>
          </w:p>
        </w:tc>
      </w:tr>
      <w:tr>
        <w:tc>
          <w:tcPr>
            <w:vAlign w:val="center"/>
          </w:tcPr>
          <w:p>
            <w:pPr>
              <w:jc w:val="center"/>
            </w:pPr>
            <w:r>
              <w:rPr>
                <w:color w:val="000000"/>
                <w:sz w:val="24"/>
              </w:rPr>
              <w:t>信息技术</w:t>
            </w:r>
          </w:p>
        </w:tc>
        <w:tc>
          <w:tcPr>
            <w:vAlign w:val="center"/>
          </w:tcPr>
          <w:p>
            <w:pPr>
              <w:jc w:val="center"/>
            </w:pPr>
            <w:r>
              <w:rPr>
                <w:color w:val="000000"/>
                <w:sz w:val="24"/>
              </w:rPr>
              <w:t>34,853,666.40</w:t>
            </w:r>
          </w:p>
        </w:tc>
        <w:tc>
          <w:tcPr>
            <w:vAlign w:val="center"/>
          </w:tcPr>
          <w:p>
            <w:pPr>
              <w:jc w:val="center"/>
            </w:pPr>
            <w:r>
              <w:rPr>
                <w:color w:val="000000"/>
                <w:sz w:val="24"/>
              </w:rPr>
              <w:t>8.10</w:t>
            </w:r>
          </w:p>
        </w:tc>
      </w:tr>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合计</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85,001,814.36</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19.76</w:t>
            </w:r>
          </w:p>
        </w:tc>
      </w:tr>
    </w:tbl>
    <w:p w:rsidP="00F51C4E" w:rsidR="00F51C4E" w:rsidRDefault="00F51C4E">
      <w:pPr>
        <w:spacing w:before="29" w:line="360" w:lineRule="auto"/>
        <w:ind w:left="17"/>
        <w:rPr>
          <w:color w:val="000000"/>
          <w:sz w:val="24"/>
        </w:rPr>
      </w:pPr>
      <w:r w:rsidRPr="00FF0BBF">
        <w:rPr>
          <w:color w:val="000000"/>
          <w:sz w:val="24"/>
        </w:rPr>
        <w:t>注：以上分类采用全球行业分类标准（GICS）。</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20,000</w:t>
            </w:r>
          </w:p>
        </w:tc>
        <w:tc>
          <w:tcPr>
            <w:vAlign w:val="center"/>
          </w:tcPr>
          <w:p>
            <w:pPr>
              <w:jc w:val="right"/>
            </w:pPr>
            <w:r>
              <w:rPr>
                <w:color w:val="000000"/>
                <w:sz w:val="24"/>
                <w:szCs w:val="24"/>
              </w:rPr>
              <w:t>23,000,000.00</w:t>
            </w:r>
          </w:p>
        </w:tc>
        <w:tc>
          <w:tcPr>
            <w:vAlign w:val="center"/>
          </w:tcPr>
          <w:p>
            <w:pPr>
              <w:jc w:val="right"/>
            </w:pPr>
            <w:r>
              <w:rPr>
                <w:color w:val="000000"/>
                <w:sz w:val="24"/>
                <w:szCs w:val="24"/>
              </w:rPr>
              <w:t>5.35</w:t>
            </w:r>
          </w:p>
        </w:tc>
      </w:tr>
      <w:tr>
        <w:tc>
          <w:tcPr>
            <w:vAlign w:val="center"/>
          </w:tcPr>
          <w:p>
            <w:pPr>
              <w:jc w:val="center"/>
            </w:pPr>
            <w:r>
              <w:rPr>
                <w:color w:val="000000"/>
                <w:sz w:val="24"/>
                <w:szCs w:val="24"/>
              </w:rPr>
              <w:t>2</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400,000</w:t>
            </w:r>
          </w:p>
        </w:tc>
        <w:tc>
          <w:tcPr>
            <w:vAlign w:val="center"/>
          </w:tcPr>
          <w:p>
            <w:pPr>
              <w:jc w:val="right"/>
            </w:pPr>
            <w:r>
              <w:rPr>
                <w:color w:val="000000"/>
                <w:sz w:val="24"/>
                <w:szCs w:val="24"/>
              </w:rPr>
              <w:t>22,920,000.00</w:t>
            </w:r>
          </w:p>
        </w:tc>
        <w:tc>
          <w:tcPr>
            <w:vAlign w:val="center"/>
          </w:tcPr>
          <w:p>
            <w:pPr>
              <w:jc w:val="right"/>
            </w:pPr>
            <w:r>
              <w:rPr>
                <w:color w:val="000000"/>
                <w:sz w:val="24"/>
                <w:szCs w:val="24"/>
              </w:rPr>
              <w:t>5.33</w:t>
            </w:r>
          </w:p>
        </w:tc>
      </w:tr>
      <w:tr>
        <w:tc>
          <w:tcPr>
            <w:vAlign w:val="center"/>
          </w:tcPr>
          <w:p>
            <w:pPr>
              <w:jc w:val="center"/>
            </w:pPr>
            <w:r>
              <w:rPr>
                <w:color w:val="000000"/>
                <w:sz w:val="24"/>
                <w:szCs w:val="24"/>
              </w:rPr>
              <w:t>3</w:t>
            </w:r>
          </w:p>
        </w:tc>
        <w:tc>
          <w:tcPr>
            <w:vAlign w:val="center"/>
          </w:tcPr>
          <w:p>
            <w:pPr>
              <w:jc w:val="center"/>
            </w:pPr>
            <w:r>
              <w:rPr>
                <w:color w:val="000000"/>
                <w:sz w:val="24"/>
                <w:szCs w:val="24"/>
              </w:rPr>
              <w:t>02382.HK</w:t>
            </w:r>
          </w:p>
        </w:tc>
        <w:tc>
          <w:tcPr>
            <w:vAlign w:val="center"/>
          </w:tcPr>
          <w:p>
            <w:pPr>
              <w:jc w:val="center"/>
            </w:pPr>
            <w:r>
              <w:rPr>
                <w:color w:val="000000"/>
                <w:sz w:val="24"/>
                <w:szCs w:val="24"/>
              </w:rPr>
              <w:t>舜宇光学科技</w:t>
            </w:r>
          </w:p>
        </w:tc>
        <w:tc>
          <w:tcPr>
            <w:vAlign w:val="center"/>
          </w:tcPr>
          <w:p>
            <w:pPr>
              <w:jc w:val="right"/>
            </w:pPr>
            <w:r>
              <w:rPr>
                <w:color w:val="000000"/>
                <w:sz w:val="24"/>
                <w:szCs w:val="24"/>
              </w:rPr>
              <w:t>200,000</w:t>
            </w:r>
          </w:p>
        </w:tc>
        <w:tc>
          <w:tcPr>
            <w:vAlign w:val="center"/>
          </w:tcPr>
          <w:p>
            <w:pPr>
              <w:jc w:val="right"/>
            </w:pPr>
            <w:r>
              <w:rPr>
                <w:color w:val="000000"/>
                <w:sz w:val="24"/>
                <w:szCs w:val="24"/>
              </w:rPr>
              <w:t>20,782,310.40</w:t>
            </w:r>
          </w:p>
        </w:tc>
        <w:tc>
          <w:tcPr>
            <w:vAlign w:val="center"/>
          </w:tcPr>
          <w:p>
            <w:pPr>
              <w:jc w:val="right"/>
            </w:pPr>
            <w:r>
              <w:rPr>
                <w:color w:val="000000"/>
                <w:sz w:val="24"/>
                <w:szCs w:val="24"/>
              </w:rPr>
              <w:t>4.83</w:t>
            </w:r>
          </w:p>
        </w:tc>
      </w:tr>
      <w:tr>
        <w:tc>
          <w:tcPr>
            <w:vAlign w:val="center"/>
          </w:tcPr>
          <w:p>
            <w:pPr>
              <w:jc w:val="center"/>
            </w:pPr>
            <w:r>
              <w:rPr>
                <w:color w:val="000000"/>
                <w:sz w:val="24"/>
                <w:szCs w:val="24"/>
              </w:rPr>
              <w:t>4</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1,100,010</w:t>
            </w:r>
          </w:p>
        </w:tc>
        <w:tc>
          <w:tcPr>
            <w:vAlign w:val="center"/>
          </w:tcPr>
          <w:p>
            <w:pPr>
              <w:jc w:val="right"/>
            </w:pPr>
            <w:r>
              <w:rPr>
                <w:color w:val="000000"/>
                <w:sz w:val="24"/>
                <w:szCs w:val="24"/>
              </w:rPr>
              <w:t>19,833,180.30</w:t>
            </w:r>
          </w:p>
        </w:tc>
        <w:tc>
          <w:tcPr>
            <w:vAlign w:val="center"/>
          </w:tcPr>
          <w:p>
            <w:pPr>
              <w:jc w:val="right"/>
            </w:pPr>
            <w:r>
              <w:rPr>
                <w:color w:val="000000"/>
                <w:sz w:val="24"/>
                <w:szCs w:val="24"/>
              </w:rPr>
              <w:t>4.61</w:t>
            </w:r>
          </w:p>
        </w:tc>
      </w:tr>
      <w:tr>
        <w:tc>
          <w:tcPr>
            <w:vAlign w:val="center"/>
          </w:tcPr>
          <w:p>
            <w:pPr>
              <w:jc w:val="center"/>
            </w:pPr>
            <w:r>
              <w:rPr>
                <w:color w:val="000000"/>
                <w:sz w:val="24"/>
                <w:szCs w:val="24"/>
              </w:rPr>
              <w:t>5</w:t>
            </w:r>
          </w:p>
        </w:tc>
        <w:tc>
          <w:tcPr>
            <w:vAlign w:val="center"/>
          </w:tcPr>
          <w:p>
            <w:pPr>
              <w:jc w:val="center"/>
            </w:pPr>
            <w:r>
              <w:rPr>
                <w:color w:val="000000"/>
                <w:sz w:val="24"/>
                <w:szCs w:val="24"/>
              </w:rPr>
              <w:t>02238.HK</w:t>
            </w:r>
          </w:p>
        </w:tc>
        <w:tc>
          <w:tcPr>
            <w:vAlign w:val="center"/>
          </w:tcPr>
          <w:p>
            <w:pPr>
              <w:jc w:val="center"/>
            </w:pPr>
            <w:r>
              <w:rPr>
                <w:color w:val="000000"/>
                <w:sz w:val="24"/>
                <w:szCs w:val="24"/>
              </w:rPr>
              <w:t>广汽集团</w:t>
            </w:r>
          </w:p>
        </w:tc>
        <w:tc>
          <w:tcPr>
            <w:vAlign w:val="center"/>
          </w:tcPr>
          <w:p>
            <w:pPr>
              <w:jc w:val="right"/>
            </w:pPr>
            <w:r>
              <w:rPr>
                <w:color w:val="000000"/>
                <w:sz w:val="24"/>
                <w:szCs w:val="24"/>
              </w:rPr>
              <w:t>2,700,000</w:t>
            </w:r>
          </w:p>
        </w:tc>
        <w:tc>
          <w:tcPr>
            <w:vAlign w:val="center"/>
          </w:tcPr>
          <w:p>
            <w:pPr>
              <w:jc w:val="right"/>
            </w:pPr>
            <w:r>
              <w:rPr>
                <w:color w:val="000000"/>
                <w:sz w:val="24"/>
                <w:szCs w:val="24"/>
              </w:rPr>
              <w:t>18,265,702.50</w:t>
            </w:r>
          </w:p>
        </w:tc>
        <w:tc>
          <w:tcPr>
            <w:vAlign w:val="center"/>
          </w:tcPr>
          <w:p>
            <w:pPr>
              <w:jc w:val="right"/>
            </w:pPr>
            <w:r>
              <w:rPr>
                <w:color w:val="000000"/>
                <w:sz w:val="24"/>
                <w:szCs w:val="24"/>
              </w:rPr>
              <w:t>4.25</w:t>
            </w:r>
          </w:p>
        </w:tc>
      </w:tr>
      <w:tr>
        <w:tc>
          <w:tcPr>
            <w:vAlign w:val="center"/>
          </w:tcPr>
          <w:p>
            <w:pPr>
              <w:jc w:val="center"/>
            </w:pPr>
            <w:r>
              <w:rPr>
                <w:color w:val="000000"/>
                <w:sz w:val="24"/>
                <w:szCs w:val="24"/>
              </w:rPr>
              <w:t>6</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180,000</w:t>
            </w:r>
          </w:p>
        </w:tc>
        <w:tc>
          <w:tcPr>
            <w:vAlign w:val="center"/>
          </w:tcPr>
          <w:p>
            <w:pPr>
              <w:jc w:val="right"/>
            </w:pPr>
            <w:r>
              <w:rPr>
                <w:color w:val="000000"/>
                <w:sz w:val="24"/>
                <w:szCs w:val="24"/>
              </w:rPr>
              <w:t>14,522,400.00</w:t>
            </w:r>
          </w:p>
        </w:tc>
        <w:tc>
          <w:tcPr>
            <w:vAlign w:val="center"/>
          </w:tcPr>
          <w:p>
            <w:pPr>
              <w:jc w:val="right"/>
            </w:pPr>
            <w:r>
              <w:rPr>
                <w:color w:val="000000"/>
                <w:sz w:val="24"/>
                <w:szCs w:val="24"/>
              </w:rPr>
              <w:t>3.38</w:t>
            </w:r>
          </w:p>
        </w:tc>
      </w:tr>
      <w:tr>
        <w:tc>
          <w:tcPr>
            <w:vAlign w:val="center"/>
          </w:tcPr>
          <w:p>
            <w:pPr>
              <w:jc w:val="center"/>
            </w:pPr>
            <w:r>
              <w:rPr>
                <w:color w:val="000000"/>
                <w:sz w:val="24"/>
                <w:szCs w:val="24"/>
              </w:rPr>
              <w:t>7</w:t>
            </w:r>
          </w:p>
        </w:tc>
        <w:tc>
          <w:tcPr>
            <w:vAlign w:val="center"/>
          </w:tcPr>
          <w:p>
            <w:pPr>
              <w:jc w:val="center"/>
            </w:pPr>
            <w:r>
              <w:rPr>
                <w:color w:val="000000"/>
                <w:sz w:val="24"/>
                <w:szCs w:val="24"/>
              </w:rPr>
              <w:t>01347.HK</w:t>
            </w:r>
          </w:p>
        </w:tc>
        <w:tc>
          <w:tcPr>
            <w:vAlign w:val="center"/>
          </w:tcPr>
          <w:p>
            <w:pPr>
              <w:jc w:val="center"/>
            </w:pPr>
            <w:r>
              <w:rPr>
                <w:color w:val="000000"/>
                <w:sz w:val="24"/>
                <w:szCs w:val="24"/>
              </w:rPr>
              <w:t>华虹半导体</w:t>
            </w:r>
          </w:p>
        </w:tc>
        <w:tc>
          <w:tcPr>
            <w:vAlign w:val="center"/>
          </w:tcPr>
          <w:p>
            <w:pPr>
              <w:jc w:val="right"/>
            </w:pPr>
            <w:r>
              <w:rPr>
                <w:color w:val="000000"/>
                <w:sz w:val="24"/>
                <w:szCs w:val="24"/>
              </w:rPr>
              <w:t>1,000,000</w:t>
            </w:r>
          </w:p>
        </w:tc>
        <w:tc>
          <w:tcPr>
            <w:vAlign w:val="center"/>
          </w:tcPr>
          <w:p>
            <w:pPr>
              <w:jc w:val="right"/>
            </w:pPr>
            <w:r>
              <w:rPr>
                <w:color w:val="000000"/>
                <w:sz w:val="24"/>
                <w:szCs w:val="24"/>
              </w:rPr>
              <w:t>14,071,356.00</w:t>
            </w:r>
          </w:p>
        </w:tc>
        <w:tc>
          <w:tcPr>
            <w:vAlign w:val="center"/>
          </w:tcPr>
          <w:p>
            <w:pPr>
              <w:jc w:val="right"/>
            </w:pPr>
            <w:r>
              <w:rPr>
                <w:color w:val="000000"/>
                <w:sz w:val="24"/>
                <w:szCs w:val="24"/>
              </w:rPr>
              <w:t>3.27</w:t>
            </w:r>
          </w:p>
        </w:tc>
      </w:tr>
      <w:tr>
        <w:tc>
          <w:tcPr>
            <w:vAlign w:val="center"/>
          </w:tcPr>
          <w:p>
            <w:pPr>
              <w:jc w:val="center"/>
            </w:pPr>
            <w:r>
              <w:rPr>
                <w:color w:val="000000"/>
                <w:sz w:val="24"/>
                <w:szCs w:val="24"/>
              </w:rPr>
              <w:t>8</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520,000</w:t>
            </w:r>
          </w:p>
        </w:tc>
        <w:tc>
          <w:tcPr>
            <w:vAlign w:val="center"/>
          </w:tcPr>
          <w:p>
            <w:pPr>
              <w:jc w:val="right"/>
            </w:pPr>
            <w:r>
              <w:rPr>
                <w:color w:val="000000"/>
                <w:sz w:val="24"/>
                <w:szCs w:val="24"/>
              </w:rPr>
              <w:t>13,915,200.00</w:t>
            </w:r>
          </w:p>
        </w:tc>
        <w:tc>
          <w:tcPr>
            <w:vAlign w:val="center"/>
          </w:tcPr>
          <w:p>
            <w:pPr>
              <w:jc w:val="right"/>
            </w:pPr>
            <w:r>
              <w:rPr>
                <w:color w:val="000000"/>
                <w:sz w:val="24"/>
                <w:szCs w:val="24"/>
              </w:rPr>
              <w:t>3.24</w:t>
            </w:r>
          </w:p>
        </w:tc>
      </w:tr>
      <w:tr>
        <w:tc>
          <w:tcPr>
            <w:vAlign w:val="center"/>
          </w:tcPr>
          <w:p>
            <w:pPr>
              <w:jc w:val="center"/>
            </w:pPr>
            <w:r>
              <w:rPr>
                <w:color w:val="000000"/>
                <w:sz w:val="24"/>
                <w:szCs w:val="24"/>
              </w:rPr>
              <w:t>9</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400,000</w:t>
            </w:r>
          </w:p>
        </w:tc>
        <w:tc>
          <w:tcPr>
            <w:vAlign w:val="center"/>
          </w:tcPr>
          <w:p>
            <w:pPr>
              <w:jc w:val="right"/>
            </w:pPr>
            <w:r>
              <w:rPr>
                <w:color w:val="000000"/>
                <w:sz w:val="24"/>
                <w:szCs w:val="24"/>
              </w:rPr>
              <w:t>13,900,000.00</w:t>
            </w:r>
          </w:p>
        </w:tc>
        <w:tc>
          <w:tcPr>
            <w:vAlign w:val="center"/>
          </w:tcPr>
          <w:p>
            <w:pPr>
              <w:jc w:val="right"/>
            </w:pPr>
            <w:r>
              <w:rPr>
                <w:color w:val="000000"/>
                <w:sz w:val="24"/>
                <w:szCs w:val="24"/>
              </w:rPr>
              <w:t>3.23</w:t>
            </w:r>
          </w:p>
        </w:tc>
      </w:tr>
      <w:tr>
        <w:tc>
          <w:tcPr>
            <w:vAlign w:val="center"/>
          </w:tcPr>
          <w:p>
            <w:pPr>
              <w:jc w:val="center"/>
            </w:pPr>
            <w:r>
              <w:rPr>
                <w:color w:val="000000"/>
                <w:sz w:val="24"/>
                <w:szCs w:val="24"/>
              </w:rPr>
              <w:t>10</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900,000</w:t>
            </w:r>
          </w:p>
        </w:tc>
        <w:tc>
          <w:tcPr>
            <w:vAlign w:val="center"/>
          </w:tcPr>
          <w:p>
            <w:pPr>
              <w:jc w:val="right"/>
            </w:pPr>
            <w:r>
              <w:rPr>
                <w:color w:val="000000"/>
                <w:sz w:val="24"/>
                <w:szCs w:val="24"/>
              </w:rPr>
              <w:t>13,635,000.00</w:t>
            </w:r>
          </w:p>
        </w:tc>
        <w:tc>
          <w:tcPr>
            <w:vAlign w:val="center"/>
          </w:tcPr>
          <w:p>
            <w:pPr>
              <w:jc w:val="right"/>
            </w:pPr>
            <w:r>
              <w:rPr>
                <w:color w:val="000000"/>
                <w:sz w:val="24"/>
                <w:szCs w:val="24"/>
              </w:rPr>
              <w:t>3.17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29,991,000.00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29,991,000.00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29,991,000.00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300,000</w:t>
            </w:r>
          </w:p>
        </w:tc>
        <w:tc>
          <w:tcPr>
            <w:vAlign w:val="center"/>
          </w:tcPr>
          <w:p>
            <w:pPr>
              <w:jc w:val="right"/>
            </w:pPr>
            <w:r>
              <w:rPr>
                <w:color w:val="000000"/>
                <w:sz w:val="24"/>
                <w:szCs w:val="24"/>
              </w:rPr>
              <w:t>29,991,000.00</w:t>
            </w:r>
          </w:p>
        </w:tc>
        <w:tc>
          <w:tcPr>
            <w:vAlign w:val="center"/>
          </w:tcPr>
          <w:p>
            <w:pPr>
              <w:jc w:val="right"/>
            </w:pPr>
            <w:r>
              <w:rPr>
                <w:color w:val="000000"/>
                <w:sz w:val="24"/>
                <w:szCs w:val="24"/>
              </w:rPr>
              <w:t>6.97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1,337,035.49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4,674,270.55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149,090.16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361,299.52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6,521,695.72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514,320,254.68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4,526,000.22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161,441,053.72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357,405,201.18</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2019/7/1-2019/9/30</w:t>
            </w:r>
          </w:p>
        </w:tc>
        <w:tc>
          <w:tcPr>
            <w:vAlign w:val="center"/>
          </w:tcPr>
          <w:p>
            <w:pPr>
              <w:jc w:val="center"/>
            </w:pPr>
            <w:r>
              <w:rPr>
                <w:rFonts w:ascii="宋体" w:hAnsi="宋体"/>
                <w:color w:val="000000"/>
                <w:kern w:val="0"/>
              </w:rPr>
              <w:t>156,993,386.51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90,000,000.00</w:t>
            </w:r>
          </w:p>
        </w:tc>
        <w:tc>
          <w:tcPr>
            <w:vAlign w:val="center"/>
          </w:tcPr>
          <w:p>
            <w:pPr>
              <w:jc w:val="center"/>
            </w:pPr>
            <w:r>
              <w:rPr>
                <w:rFonts w:ascii="宋体" w:hAnsi="宋体"/>
                <w:color w:val="000000"/>
                <w:kern w:val="0"/>
              </w:rPr>
              <w:t>66,993,386.51</w:t>
            </w:r>
          </w:p>
        </w:tc>
        <w:tc>
          <w:tcPr>
            <w:vAlign w:val="center"/>
          </w:tcPr>
          <w:p>
            <w:pPr>
              <w:jc w:val="center"/>
            </w:pPr>
            <w:r>
              <w:rPr>
                <w:rFonts w:ascii="宋体" w:hAnsi="宋体"/>
                <w:color w:val="000000"/>
                <w:kern w:val="0"/>
              </w:rPr>
              <w:t>18.74%</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2019/7/1-2019/9/30</w:t>
            </w:r>
          </w:p>
        </w:tc>
        <w:tc>
          <w:tcPr>
            <w:vAlign w:val="center"/>
          </w:tcPr>
          <w:p>
            <w:pPr>
              <w:jc w:val="center"/>
            </w:pPr>
            <w:r>
              <w:rPr>
                <w:rFonts w:ascii="宋体" w:hAnsi="宋体"/>
                <w:color w:val="000000"/>
                <w:kern w:val="0"/>
              </w:rPr>
              <w:t>176,879,806.77</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46,381,261.60</w:t>
            </w:r>
          </w:p>
        </w:tc>
        <w:tc>
          <w:tcPr>
            <w:vAlign w:val="center"/>
          </w:tcPr>
          <w:p>
            <w:pPr>
              <w:jc w:val="center"/>
            </w:pPr>
            <w:r>
              <w:rPr>
                <w:rFonts w:ascii="宋体" w:hAnsi="宋体"/>
                <w:color w:val="000000"/>
                <w:kern w:val="0"/>
              </w:rPr>
              <w:t>130,498,545.17</w:t>
            </w:r>
          </w:p>
        </w:tc>
        <w:tc>
          <w:tcPr>
            <w:vAlign w:val="center"/>
          </w:tcPr>
          <w:p>
            <w:pPr>
              <w:jc w:val="center"/>
            </w:pPr>
            <w:r>
              <w:rPr>
                <w:rFonts w:ascii="宋体" w:hAnsi="宋体"/>
                <w:color w:val="000000"/>
                <w:kern w:val="0"/>
              </w:rPr>
              <w:t>36.51%</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1、中国证监会准予交银施罗德沪港深价值精选灵活配置混合型证券投资基金募集注册的文件；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2、《交银施罗德沪港深价值精选灵活配置混合型证券投资基金基金合同》；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3、《交银施罗德沪港深价值精选灵活配置混合型证券投资基金招募说明书》；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4、《交银施罗德沪港深价值精选灵活配置混合型证券投资基金托管协议》；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5、关于申请募集注册交银施罗德沪港深价值精选灵活配置混合型证券投资基金的法律意见书；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8、报告期内交银施罗德沪港深价值精选灵活配置混合型证券投资基金在指定报刊上各项公告的原稿。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交银施罗德沪港深价值精选灵活配置混合型证券投资基金2019年第3季度报告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