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交银施罗德沪港深价值精选灵活配置混合型证券投资基金</w:t>
      </w:r>
    </w:p>
    <w:p w:rsidP="00C15CAC" w:rsidR="002279D3" w:rsidRDefault="002279D3" w:rsidRPr="0081286B">
      <w:pPr>
        <w:spacing w:before="29" w:line="288" w:lineRule="auto"/>
        <w:jc w:val="center"/>
        <w:rPr>
          <w:b/>
          <w:sz w:val="36"/>
          <w:szCs w:val="36"/>
        </w:rPr>
      </w:pPr>
      <w:r w:rsidRPr="0081286B">
        <w:rPr>
          <w:b/>
          <w:sz w:val="36"/>
          <w:szCs w:val="36"/>
        </w:rPr>
        <w:t>2019年第3季度报告</w:t>
      </w:r>
    </w:p>
    <w:p w:rsidP="00C15CAC" w:rsidR="004061AC" w:rsidRDefault="00655CD8" w:rsidRPr="0081286B">
      <w:pPr>
        <w:spacing w:before="29" w:line="288" w:lineRule="auto"/>
        <w:jc w:val="center"/>
        <w:rPr>
          <w:b/>
          <w:sz w:val="36"/>
          <w:szCs w:val="36"/>
        </w:rPr>
      </w:pPr>
      <w:r w:rsidRPr="0081286B">
        <w:rPr>
          <w:b/>
          <w:sz w:val="36"/>
          <w:szCs w:val="36"/>
        </w:rPr>
        <w:t>2019年9月30日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中国农业银行股份有限公司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二〇一九年十月二十二日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基金托管人中国农业银行股份有限公司根据本基金合同规定，于2019年10月21日复核了本报告中的财务指标、净值表现和投资组合报告等内容，保证复核内容不存在虚假记载、误导性陈述或者重大遗漏。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本报告期自2019年7月1日起至9月30日止。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交银沪港深价值精选混合</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519779</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519779</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2016年11月7日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357,405,201.18</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本基金通过优化资产配置和灵活运用多种投资策略，把握沪港通及后续资本市场开放政策带来的投资机会，力争实现基金资产的长期稳定增值。</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沪深300指数收益率×40%+恒生指数收益率×40%+中证综合债券指数收益率×20%</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pPr>
              <w:adjustRightInd w:val="0"/>
              <w:spacing w:before="29" w:line="288" w:lineRule="auto"/>
              <w:ind w:left="17"/>
              <w:jc w:val="left"/>
              <w:rPr>
                <w:color w:val="000000"/>
                <w:sz w:val="24"/>
                <w:szCs w:val="24"/>
              </w:rPr>
            </w:pPr>
            <w:r>
              <w:rPr>
                <w:color w:val="000000"/>
                <w:kern w:val="0"/>
                <w:sz w:val="24"/>
                <w:szCs w:val="24"/>
              </w:rPr>
              <w:t>本基金是一只混合型基金，其风险和预期收益高于债券型基金和货币市场基金，低于股票型基金。属于承担较高风险、预期收益较高的证券投资基金品种。</w:t>
            </w:r>
          </w:p>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本基金可投资港股通标的股票，会面临港股通机制下因投资环境、投资标的、市场制度以及交易规则等差异带来的特有风险。</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(2019年7月1日-2019年9月30日)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36,570,834.85</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37,367,483.43</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0.0951</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430,136,057.28</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1.203</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注：1、上述基金业绩指标不包括持有人认购或交易基金的各项费用，计入费用后的实际收益水平要低于所列数字；</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2、本期已实现收益指基金本期利息收入、投资收益、其他收入（不含公允价值变动收益）扣除相关费用后的余额，本期利润为本期已实现收益加上本期公允价值变动收益。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7.99%</w:t>
            </w:r>
          </w:p>
        </w:tc>
        <w:tc>
          <w:tcPr>
            <w:vAlign w:val="center"/>
          </w:tcPr>
          <w:p>
            <w:pPr>
              <w:jc w:val="center"/>
            </w:pPr>
            <w:r>
              <w:rPr>
                <w:color w:val="000000"/>
                <w:sz w:val="24"/>
                <w:szCs w:val="24"/>
              </w:rPr>
              <w:t>0.95%</w:t>
            </w:r>
          </w:p>
        </w:tc>
        <w:tc>
          <w:tcPr>
            <w:vAlign w:val="center"/>
          </w:tcPr>
          <w:p>
            <w:pPr>
              <w:jc w:val="center"/>
            </w:pPr>
            <w:r>
              <w:rPr>
                <w:color w:val="000000"/>
                <w:sz w:val="24"/>
                <w:szCs w:val="24"/>
              </w:rPr>
              <w:t>-3.28%</w:t>
            </w:r>
          </w:p>
        </w:tc>
        <w:tc>
          <w:tcPr>
            <w:vAlign w:val="center"/>
          </w:tcPr>
          <w:p>
            <w:pPr>
              <w:jc w:val="center"/>
            </w:pPr>
            <w:r>
              <w:rPr>
                <w:color w:val="000000"/>
                <w:sz w:val="24"/>
                <w:szCs w:val="24"/>
              </w:rPr>
              <w:t>0.69%</w:t>
            </w:r>
          </w:p>
        </w:tc>
        <w:tc>
          <w:tcPr>
            <w:vAlign w:val="center"/>
          </w:tcPr>
          <w:p>
            <w:pPr>
              <w:jc w:val="center"/>
            </w:pPr>
            <w:r>
              <w:rPr>
                <w:color w:val="000000"/>
                <w:sz w:val="24"/>
                <w:szCs w:val="24"/>
              </w:rPr>
              <w:t>11.27%</w:t>
            </w:r>
          </w:p>
        </w:tc>
        <w:tc>
          <w:tcPr>
            <w:vAlign w:val="center"/>
          </w:tcPr>
          <w:p>
            <w:pPr>
              <w:jc w:val="center"/>
            </w:pPr>
            <w:r>
              <w:rPr>
                <w:color w:val="000000"/>
                <w:sz w:val="24"/>
                <w:szCs w:val="24"/>
              </w:rPr>
              <w:t>0.26%</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交银施罗德沪港深价值精选灵活配置混合型证券投资基金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2016年11月7日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2019年9月30日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陈俊华</w:t>
            </w:r>
          </w:p>
        </w:tc>
        <w:tc>
          <w:tcPr>
            <w:vAlign w:val="center"/>
          </w:tcPr>
          <w:p>
            <w:pPr>
              <w:jc w:val="center"/>
            </w:pPr>
            <w:r>
              <w:rPr>
                <w:color w:val="000000"/>
                <w:sz w:val="24"/>
                <w:szCs w:val="24"/>
              </w:rPr>
              <w:t>交银环球精选混合(QDII)、交银沪港深价值精选混合、交银核心资产混合的基金经理，公司跨境投资副总监</w:t>
            </w:r>
          </w:p>
        </w:tc>
        <w:tc>
          <w:tcPr>
            <w:vAlign w:val="center"/>
          </w:tcPr>
          <w:p>
            <w:pPr>
              <w:jc w:val="center"/>
            </w:pPr>
            <w:r>
              <w:rPr>
                <w:color w:val="000000"/>
                <w:sz w:val="24"/>
                <w:szCs w:val="24"/>
              </w:rPr>
              <w:t>2016-11-07</w:t>
            </w:r>
          </w:p>
        </w:tc>
        <w:tc>
          <w:tcPr>
            <w:vAlign w:val="center"/>
          </w:tcPr>
          <w:p>
            <w:pPr>
              <w:jc w:val="center"/>
            </w:pPr>
            <w:r>
              <w:rPr>
                <w:color w:val="000000"/>
                <w:sz w:val="24"/>
                <w:szCs w:val="24"/>
              </w:rPr>
              <w:t>-</w:t>
            </w:r>
          </w:p>
        </w:tc>
        <w:tc>
          <w:tcPr>
            <w:vAlign w:val="center"/>
          </w:tcPr>
          <w:p>
            <w:pPr>
              <w:jc w:val="center"/>
            </w:pPr>
            <w:r>
              <w:rPr>
                <w:color w:val="000000"/>
                <w:sz w:val="24"/>
                <w:szCs w:val="24"/>
              </w:rPr>
              <w:t>14年</w:t>
            </w:r>
          </w:p>
        </w:tc>
        <w:tc>
          <w:tcPr>
            <w:vAlign w:val="center"/>
          </w:tcPr>
          <w:p>
            <w:pPr>
              <w:jc w:val="both"/>
            </w:pPr>
            <w:r>
              <w:rPr>
                <w:color w:val="000000"/>
                <w:sz w:val="24"/>
                <w:szCs w:val="24"/>
              </w:rPr>
              <w:t>陈俊华女士，中国国籍，上海交通大学金融学硕士。历任国泰君安证券研究部研究员、中国国际金融有限公司研究部公用事业组负责人。2015年加入交银施罗德基金管理有限公司。2015年11月21日至2019年9月19日担任交银施罗德全球自然资源证券投资基金的基金经理。</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2019年三季度，全球股市大部分下跌，仅有A股取得显著正收益。A股在科技板块的带动下，普遍取得正收益。海外投资者的关注点主要在于：经济衰退引发负利率，资金再次回流债市，风险偏好下降。而港股受海外和本地因素影响更大，单三季度下跌超过5个点。从市场热点来看，三季度市场关注焦点仍在5G、云计算以及网络安全等领域，而消费、制造业则表现一般。</w:t>
      </w:r>
    </w:p>
    <w:p>
      <w:pPr>
        <w:spacing w:before="29" w:line="288" w:lineRule="auto"/>
        <w:ind w:firstLine="480" w:firstLineChars="200"/>
        <w:rPr>
          <w:color w:val="000000"/>
          <w:sz w:val="24"/>
          <w:szCs w:val="24"/>
        </w:rPr>
      </w:pPr>
      <w:r>
        <w:rPr>
          <w:color w:val="000000"/>
          <w:sz w:val="24"/>
          <w:szCs w:val="24"/>
        </w:rPr>
        <w:t>回顾2019年三季度，我们维持高仓位运行，同时优化消费、制造和科技板块的选股，更加集中向细分龙头配置，减少二线品种。判断业绩确定性和增长前景，仍是我们筛选股票的出发点。从我们对于中报的学习分析，我们发现：行业一线公司和二线公司的利润率趋势有了较为明显的差异。此外，我们注意到五月开始的减税降费，已体现在部分公司的报表中，尽管收入增速下滑、竞争加剧，但企业毛利率并未发生恶化。受到巨大科技红利（5G推广、网络安全投资等）的带动，科技股业绩、估值都出现了快速提升，而消费、制造板块部分个股，尽管业绩企稳，但投资者普遍担心其盈利前景，估值仍处中低水平。</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展望2019年四季度，我们谨慎乐观，我们将继续在制造、消费和科技领域寻找拥有产业链竞争优势的企业，尤其是2020年公司基本面有加速改善潜质的企业。市场层面，A股短期涨幅较大，预计会有波动，港股仍在筑底、恢复信心阶段。但从基本面因素来看，流动性仍宽裕：低利率趋势仍将持续、海外资金继续流入中国；企业基本面有望好于预期：减税降费、龙头的规模优势都在持续发挥作用。我们会继续延续产业链比较研究的思路，勤勉尽责地积极调研，努力挖掘投资标的，争取为投资人赚取回报。</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本基金本报告期内无需预警说明。</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359,392,339.93</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82.95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359,392,339.93</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82.95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29,991,000.00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6.92</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29,991,000.00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6.92</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37,368,338.28</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8.62</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6,521,695.72</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1.51</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433,273,373.93</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5,632,591.50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1.31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142,204,934.91</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33.06</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11,980,000.00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2.79</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7,884,000.00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1.83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62,060,188.48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14.43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39,985,651.80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9.30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4,643,158.88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1.08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274,390,525.57</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63.79</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tbl>
      <w:tblPr>
        <w:tblW w:type="dxa" w:w="8634"/>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2397"/>
        <w:gridCol w:w="3119"/>
        <w:gridCol w:w="3118"/>
      </w:tblGrid>
      <w:tr w:rsidR="00F51C4E" w:rsidRPr="00FF0BBF" w:rsidTr="00AD114B">
        <w:trPr>
          <w:jc w:val="center"/>
        </w:trPr>
        <w:tc>
          <w:tcPr>
            <w:tcW w:type="dxa" w:w="2397"/>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行业类别</w:t>
            </w:r>
            <w:r w:rsidRPr="00FF0BBF">
              <w:rPr>
                <w:color w:val="000000"/>
                <w:sz w:val="24"/>
              </w:rPr>
              <w:t/>
            </w:r>
          </w:p>
        </w:tc>
        <w:tc>
          <w:tcPr>
            <w:tcW w:type="dxa" w:w="3119"/>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公允价值（人民币）</w:t>
            </w:r>
          </w:p>
        </w:tc>
        <w:tc>
          <w:tcPr>
            <w:tcW w:type="dxa" w:w="3118"/>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占基金资产净值比例（</w:t>
            </w:r>
            <w:r w:rsidRPr="00FF0BBF">
              <w:rPr>
                <w:rFonts w:hint="eastAsia"/>
                <w:color w:val="000000"/>
                <w:sz w:val="24"/>
              </w:rPr>
              <w:t>%</w:t>
            </w:r>
            <w:r w:rsidRPr="00FF0BBF">
              <w:rPr>
                <w:rFonts w:hint="eastAsia"/>
                <w:color w:val="000000"/>
                <w:sz w:val="24"/>
              </w:rPr>
              <w:t>）</w:t>
            </w:r>
          </w:p>
        </w:tc>
      </w:tr>
      <w:tr>
        <w:tc>
          <w:tcPr>
            <w:vAlign w:val="center"/>
          </w:tcPr>
          <w:p>
            <w:pPr>
              <w:jc w:val="center"/>
            </w:pPr>
            <w:r>
              <w:rPr>
                <w:color w:val="000000"/>
                <w:sz w:val="24"/>
              </w:rPr>
              <w:t>非日常生活消费品</w:t>
            </w:r>
          </w:p>
        </w:tc>
        <w:tc>
          <w:tcPr>
            <w:vAlign w:val="center"/>
          </w:tcPr>
          <w:p>
            <w:pPr>
              <w:jc w:val="center"/>
            </w:pPr>
            <w:r>
              <w:rPr>
                <w:color w:val="000000"/>
                <w:sz w:val="24"/>
              </w:rPr>
              <w:t>27,502,284.90</w:t>
            </w:r>
          </w:p>
        </w:tc>
        <w:tc>
          <w:tcPr>
            <w:vAlign w:val="center"/>
          </w:tcPr>
          <w:p>
            <w:pPr>
              <w:jc w:val="center"/>
            </w:pPr>
            <w:r>
              <w:rPr>
                <w:color w:val="000000"/>
                <w:sz w:val="24"/>
              </w:rPr>
              <w:t>6.39</w:t>
            </w:r>
          </w:p>
        </w:tc>
      </w:tr>
      <w:tr>
        <w:tc>
          <w:tcPr>
            <w:vAlign w:val="center"/>
          </w:tcPr>
          <w:p>
            <w:pPr>
              <w:jc w:val="center"/>
            </w:pPr>
            <w:r>
              <w:rPr>
                <w:color w:val="000000"/>
                <w:sz w:val="24"/>
              </w:rPr>
              <w:t>工业</w:t>
            </w:r>
          </w:p>
        </w:tc>
        <w:tc>
          <w:tcPr>
            <w:vAlign w:val="center"/>
          </w:tcPr>
          <w:p>
            <w:pPr>
              <w:jc w:val="center"/>
            </w:pPr>
            <w:r>
              <w:rPr>
                <w:color w:val="000000"/>
                <w:sz w:val="24"/>
              </w:rPr>
              <w:t>2,061,994.86</w:t>
            </w:r>
          </w:p>
        </w:tc>
        <w:tc>
          <w:tcPr>
            <w:vAlign w:val="center"/>
          </w:tcPr>
          <w:p>
            <w:pPr>
              <w:jc w:val="center"/>
            </w:pPr>
            <w:r>
              <w:rPr>
                <w:color w:val="000000"/>
                <w:sz w:val="24"/>
              </w:rPr>
              <w:t>0.48</w:t>
            </w:r>
          </w:p>
        </w:tc>
      </w:tr>
      <w:tr>
        <w:tc>
          <w:tcPr>
            <w:vAlign w:val="center"/>
          </w:tcPr>
          <w:p>
            <w:pPr>
              <w:jc w:val="center"/>
            </w:pPr>
            <w:r>
              <w:rPr>
                <w:color w:val="000000"/>
                <w:sz w:val="24"/>
              </w:rPr>
              <w:t>金融</w:t>
            </w:r>
          </w:p>
        </w:tc>
        <w:tc>
          <w:tcPr>
            <w:vAlign w:val="center"/>
          </w:tcPr>
          <w:p>
            <w:pPr>
              <w:jc w:val="center"/>
            </w:pPr>
            <w:r>
              <w:rPr>
                <w:color w:val="000000"/>
                <w:sz w:val="24"/>
              </w:rPr>
              <w:t>20,583,868.20</w:t>
            </w:r>
          </w:p>
        </w:tc>
        <w:tc>
          <w:tcPr>
            <w:vAlign w:val="center"/>
          </w:tcPr>
          <w:p>
            <w:pPr>
              <w:jc w:val="center"/>
            </w:pPr>
            <w:r>
              <w:rPr>
                <w:color w:val="000000"/>
                <w:sz w:val="24"/>
              </w:rPr>
              <w:t>4.79</w:t>
            </w:r>
          </w:p>
        </w:tc>
      </w:tr>
      <w:tr>
        <w:tc>
          <w:tcPr>
            <w:vAlign w:val="center"/>
          </w:tcPr>
          <w:p>
            <w:pPr>
              <w:jc w:val="center"/>
            </w:pPr>
            <w:r>
              <w:rPr>
                <w:color w:val="000000"/>
                <w:sz w:val="24"/>
              </w:rPr>
              <w:t>信息技术</w:t>
            </w:r>
          </w:p>
        </w:tc>
        <w:tc>
          <w:tcPr>
            <w:vAlign w:val="center"/>
          </w:tcPr>
          <w:p>
            <w:pPr>
              <w:jc w:val="center"/>
            </w:pPr>
            <w:r>
              <w:rPr>
                <w:color w:val="000000"/>
                <w:sz w:val="24"/>
              </w:rPr>
              <w:t>34,853,666.40</w:t>
            </w:r>
          </w:p>
        </w:tc>
        <w:tc>
          <w:tcPr>
            <w:vAlign w:val="center"/>
          </w:tcPr>
          <w:p>
            <w:pPr>
              <w:jc w:val="center"/>
            </w:pPr>
            <w:r>
              <w:rPr>
                <w:color w:val="000000"/>
                <w:sz w:val="24"/>
              </w:rPr>
              <w:t>8.10</w:t>
            </w:r>
          </w:p>
        </w:tc>
      </w:tr>
      <w:tr w:rsidR="00F51C4E" w:rsidRPr="00FF0BBF" w:rsidTr="00AD114B">
        <w:trPr>
          <w:jc w:val="center"/>
        </w:trPr>
        <w:tc>
          <w:tcPr>
            <w:tcW w:type="dxa" w:w="2397"/>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合计</w:t>
            </w:r>
          </w:p>
        </w:tc>
        <w:tc>
          <w:tcPr>
            <w:tcW w:type="dxa" w:w="3119"/>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
            </w:r>
            <w:r w:rsidRPr="00FF0BBF">
              <w:rPr>
                <w:color w:val="000000"/>
                <w:sz w:val="24"/>
              </w:rPr>
              <w:t/>
            </w:r>
            <w:r w:rsidRPr="00FF0BBF">
              <w:rPr>
                <w:rFonts w:hint="eastAsia"/>
                <w:color w:val="000000"/>
                <w:sz w:val="24"/>
              </w:rPr>
              <w:t>85,001,814.36</w:t>
            </w:r>
          </w:p>
        </w:tc>
        <w:tc>
          <w:tcPr>
            <w:tcW w:type="dxa" w:w="3118"/>
            <w:vAlign w:val="center"/>
          </w:tcPr>
          <w:p w:rsidP="00AD114B" w:rsidR="00F51C4E" w:rsidRDefault="00F51C4E" w:rsidRPr="00FF0BBF">
            <w:pPr>
              <w:spacing w:before="29" w:line="360" w:lineRule="auto"/>
              <w:ind w:left="17"/>
              <w:jc w:val="center"/>
              <w:rPr>
                <w:color w:val="000000"/>
                <w:sz w:val="24"/>
              </w:rPr>
            </w:pPr>
            <w:r w:rsidRPr="00FF0BBF">
              <w:rPr>
                <w:rFonts w:hint="eastAsia"/>
                <w:color w:val="000000"/>
                <w:sz w:val="24"/>
              </w:rPr>
              <w:t/>
            </w:r>
            <w:r w:rsidRPr="00FF0BBF">
              <w:rPr>
                <w:color w:val="000000"/>
                <w:sz w:val="24"/>
              </w:rPr>
              <w:t/>
            </w:r>
            <w:r w:rsidRPr="00FF0BBF">
              <w:rPr>
                <w:rFonts w:hint="eastAsia"/>
                <w:color w:val="000000"/>
                <w:sz w:val="24"/>
              </w:rPr>
              <w:t>19.76</w:t>
            </w:r>
          </w:p>
        </w:tc>
      </w:tr>
    </w:tbl>
    <w:p w:rsidP="00F51C4E" w:rsidR="00F51C4E" w:rsidRDefault="00F51C4E">
      <w:pPr>
        <w:spacing w:before="29" w:line="360" w:lineRule="auto"/>
        <w:ind w:left="17"/>
        <w:rPr>
          <w:color w:val="000000"/>
          <w:sz w:val="24"/>
        </w:rPr>
      </w:pPr>
      <w:r w:rsidRPr="00FF0BBF">
        <w:rPr>
          <w:color w:val="000000"/>
          <w:sz w:val="24"/>
        </w:rPr>
        <w:t>注：以上分类采用全球行业分类标准（GICS）。</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600519</w:t>
            </w:r>
          </w:p>
        </w:tc>
        <w:tc>
          <w:tcPr>
            <w:vAlign w:val="center"/>
          </w:tcPr>
          <w:p>
            <w:pPr>
              <w:jc w:val="center"/>
            </w:pPr>
            <w:r>
              <w:rPr>
                <w:color w:val="000000"/>
                <w:sz w:val="24"/>
                <w:szCs w:val="24"/>
              </w:rPr>
              <w:t>贵州茅台</w:t>
            </w:r>
          </w:p>
        </w:tc>
        <w:tc>
          <w:tcPr>
            <w:vAlign w:val="center"/>
          </w:tcPr>
          <w:p>
            <w:pPr>
              <w:jc w:val="right"/>
            </w:pPr>
            <w:r>
              <w:rPr>
                <w:color w:val="000000"/>
                <w:sz w:val="24"/>
                <w:szCs w:val="24"/>
              </w:rPr>
              <w:t>20,000</w:t>
            </w:r>
          </w:p>
        </w:tc>
        <w:tc>
          <w:tcPr>
            <w:vAlign w:val="center"/>
          </w:tcPr>
          <w:p>
            <w:pPr>
              <w:jc w:val="right"/>
            </w:pPr>
            <w:r>
              <w:rPr>
                <w:color w:val="000000"/>
                <w:sz w:val="24"/>
                <w:szCs w:val="24"/>
              </w:rPr>
              <w:t>23,000,000.00</w:t>
            </w:r>
          </w:p>
        </w:tc>
        <w:tc>
          <w:tcPr>
            <w:vAlign w:val="center"/>
          </w:tcPr>
          <w:p>
            <w:pPr>
              <w:jc w:val="right"/>
            </w:pPr>
            <w:r>
              <w:rPr>
                <w:color w:val="000000"/>
                <w:sz w:val="24"/>
                <w:szCs w:val="24"/>
              </w:rPr>
              <w:t>5.35</w:t>
            </w:r>
          </w:p>
        </w:tc>
      </w:tr>
      <w:tr>
        <w:tc>
          <w:tcPr>
            <w:vAlign w:val="center"/>
          </w:tcPr>
          <w:p>
            <w:pPr>
              <w:jc w:val="center"/>
            </w:pPr>
            <w:r>
              <w:rPr>
                <w:color w:val="000000"/>
                <w:sz w:val="24"/>
                <w:szCs w:val="24"/>
              </w:rPr>
              <w:t>2</w:t>
            </w:r>
          </w:p>
        </w:tc>
        <w:tc>
          <w:tcPr>
            <w:vAlign w:val="center"/>
          </w:tcPr>
          <w:p>
            <w:pPr>
              <w:jc w:val="center"/>
            </w:pPr>
            <w:r>
              <w:rPr>
                <w:color w:val="000000"/>
                <w:sz w:val="24"/>
                <w:szCs w:val="24"/>
              </w:rPr>
              <w:t>000651</w:t>
            </w:r>
          </w:p>
        </w:tc>
        <w:tc>
          <w:tcPr>
            <w:vAlign w:val="center"/>
          </w:tcPr>
          <w:p>
            <w:pPr>
              <w:jc w:val="center"/>
            </w:pPr>
            <w:r>
              <w:rPr>
                <w:color w:val="000000"/>
                <w:sz w:val="24"/>
                <w:szCs w:val="24"/>
              </w:rPr>
              <w:t>格力电器</w:t>
            </w:r>
          </w:p>
        </w:tc>
        <w:tc>
          <w:tcPr>
            <w:vAlign w:val="center"/>
          </w:tcPr>
          <w:p>
            <w:pPr>
              <w:jc w:val="right"/>
            </w:pPr>
            <w:r>
              <w:rPr>
                <w:color w:val="000000"/>
                <w:sz w:val="24"/>
                <w:szCs w:val="24"/>
              </w:rPr>
              <w:t>400,000</w:t>
            </w:r>
          </w:p>
        </w:tc>
        <w:tc>
          <w:tcPr>
            <w:vAlign w:val="center"/>
          </w:tcPr>
          <w:p>
            <w:pPr>
              <w:jc w:val="right"/>
            </w:pPr>
            <w:r>
              <w:rPr>
                <w:color w:val="000000"/>
                <w:sz w:val="24"/>
                <w:szCs w:val="24"/>
              </w:rPr>
              <w:t>22,920,000.00</w:t>
            </w:r>
          </w:p>
        </w:tc>
        <w:tc>
          <w:tcPr>
            <w:vAlign w:val="center"/>
          </w:tcPr>
          <w:p>
            <w:pPr>
              <w:jc w:val="right"/>
            </w:pPr>
            <w:r>
              <w:rPr>
                <w:color w:val="000000"/>
                <w:sz w:val="24"/>
                <w:szCs w:val="24"/>
              </w:rPr>
              <w:t>5.33</w:t>
            </w:r>
          </w:p>
        </w:tc>
      </w:tr>
      <w:tr>
        <w:tc>
          <w:tcPr>
            <w:vAlign w:val="center"/>
          </w:tcPr>
          <w:p>
            <w:pPr>
              <w:jc w:val="center"/>
            </w:pPr>
            <w:r>
              <w:rPr>
                <w:color w:val="000000"/>
                <w:sz w:val="24"/>
                <w:szCs w:val="24"/>
              </w:rPr>
              <w:t>3</w:t>
            </w:r>
          </w:p>
        </w:tc>
        <w:tc>
          <w:tcPr>
            <w:vAlign w:val="center"/>
          </w:tcPr>
          <w:p>
            <w:pPr>
              <w:jc w:val="center"/>
            </w:pPr>
            <w:r>
              <w:rPr>
                <w:color w:val="000000"/>
                <w:sz w:val="24"/>
                <w:szCs w:val="24"/>
              </w:rPr>
              <w:t>02382.HK</w:t>
            </w:r>
          </w:p>
        </w:tc>
        <w:tc>
          <w:tcPr>
            <w:vAlign w:val="center"/>
          </w:tcPr>
          <w:p>
            <w:pPr>
              <w:jc w:val="center"/>
            </w:pPr>
            <w:r>
              <w:rPr>
                <w:color w:val="000000"/>
                <w:sz w:val="24"/>
                <w:szCs w:val="24"/>
              </w:rPr>
              <w:t>舜宇光学科技</w:t>
            </w:r>
          </w:p>
        </w:tc>
        <w:tc>
          <w:tcPr>
            <w:vAlign w:val="center"/>
          </w:tcPr>
          <w:p>
            <w:pPr>
              <w:jc w:val="right"/>
            </w:pPr>
            <w:r>
              <w:rPr>
                <w:color w:val="000000"/>
                <w:sz w:val="24"/>
                <w:szCs w:val="24"/>
              </w:rPr>
              <w:t>200,000</w:t>
            </w:r>
          </w:p>
        </w:tc>
        <w:tc>
          <w:tcPr>
            <w:vAlign w:val="center"/>
          </w:tcPr>
          <w:p>
            <w:pPr>
              <w:jc w:val="right"/>
            </w:pPr>
            <w:r>
              <w:rPr>
                <w:color w:val="000000"/>
                <w:sz w:val="24"/>
                <w:szCs w:val="24"/>
              </w:rPr>
              <w:t>20,782,310.40</w:t>
            </w:r>
          </w:p>
        </w:tc>
        <w:tc>
          <w:tcPr>
            <w:vAlign w:val="center"/>
          </w:tcPr>
          <w:p>
            <w:pPr>
              <w:jc w:val="right"/>
            </w:pPr>
            <w:r>
              <w:rPr>
                <w:color w:val="000000"/>
                <w:sz w:val="24"/>
                <w:szCs w:val="24"/>
              </w:rPr>
              <w:t>4.83</w:t>
            </w:r>
          </w:p>
        </w:tc>
      </w:tr>
      <w:tr>
        <w:tc>
          <w:tcPr>
            <w:vAlign w:val="center"/>
          </w:tcPr>
          <w:p>
            <w:pPr>
              <w:jc w:val="center"/>
            </w:pPr>
            <w:r>
              <w:rPr>
                <w:color w:val="000000"/>
                <w:sz w:val="24"/>
                <w:szCs w:val="24"/>
              </w:rPr>
              <w:t>4</w:t>
            </w:r>
          </w:p>
        </w:tc>
        <w:tc>
          <w:tcPr>
            <w:vAlign w:val="center"/>
          </w:tcPr>
          <w:p>
            <w:pPr>
              <w:jc w:val="center"/>
            </w:pPr>
            <w:r>
              <w:rPr>
                <w:color w:val="000000"/>
                <w:sz w:val="24"/>
                <w:szCs w:val="24"/>
              </w:rPr>
              <w:t>002555</w:t>
            </w:r>
          </w:p>
        </w:tc>
        <w:tc>
          <w:tcPr>
            <w:vAlign w:val="center"/>
          </w:tcPr>
          <w:p>
            <w:pPr>
              <w:jc w:val="center"/>
            </w:pPr>
            <w:r>
              <w:rPr>
                <w:color w:val="000000"/>
                <w:sz w:val="24"/>
                <w:szCs w:val="24"/>
              </w:rPr>
              <w:t>三七互娱</w:t>
            </w:r>
          </w:p>
        </w:tc>
        <w:tc>
          <w:tcPr>
            <w:vAlign w:val="center"/>
          </w:tcPr>
          <w:p>
            <w:pPr>
              <w:jc w:val="right"/>
            </w:pPr>
            <w:r>
              <w:rPr>
                <w:color w:val="000000"/>
                <w:sz w:val="24"/>
                <w:szCs w:val="24"/>
              </w:rPr>
              <w:t>1,100,010</w:t>
            </w:r>
          </w:p>
        </w:tc>
        <w:tc>
          <w:tcPr>
            <w:vAlign w:val="center"/>
          </w:tcPr>
          <w:p>
            <w:pPr>
              <w:jc w:val="right"/>
            </w:pPr>
            <w:r>
              <w:rPr>
                <w:color w:val="000000"/>
                <w:sz w:val="24"/>
                <w:szCs w:val="24"/>
              </w:rPr>
              <w:t>19,833,180.30</w:t>
            </w:r>
          </w:p>
        </w:tc>
        <w:tc>
          <w:tcPr>
            <w:vAlign w:val="center"/>
          </w:tcPr>
          <w:p>
            <w:pPr>
              <w:jc w:val="right"/>
            </w:pPr>
            <w:r>
              <w:rPr>
                <w:color w:val="000000"/>
                <w:sz w:val="24"/>
                <w:szCs w:val="24"/>
              </w:rPr>
              <w:t>4.61</w:t>
            </w:r>
          </w:p>
        </w:tc>
      </w:tr>
      <w:tr>
        <w:tc>
          <w:tcPr>
            <w:vAlign w:val="center"/>
          </w:tcPr>
          <w:p>
            <w:pPr>
              <w:jc w:val="center"/>
            </w:pPr>
            <w:r>
              <w:rPr>
                <w:color w:val="000000"/>
                <w:sz w:val="24"/>
                <w:szCs w:val="24"/>
              </w:rPr>
              <w:t>5</w:t>
            </w:r>
          </w:p>
        </w:tc>
        <w:tc>
          <w:tcPr>
            <w:vAlign w:val="center"/>
          </w:tcPr>
          <w:p>
            <w:pPr>
              <w:jc w:val="center"/>
            </w:pPr>
            <w:r>
              <w:rPr>
                <w:color w:val="000000"/>
                <w:sz w:val="24"/>
                <w:szCs w:val="24"/>
              </w:rPr>
              <w:t>02238.HK</w:t>
            </w:r>
          </w:p>
        </w:tc>
        <w:tc>
          <w:tcPr>
            <w:vAlign w:val="center"/>
          </w:tcPr>
          <w:p>
            <w:pPr>
              <w:jc w:val="center"/>
            </w:pPr>
            <w:r>
              <w:rPr>
                <w:color w:val="000000"/>
                <w:sz w:val="24"/>
                <w:szCs w:val="24"/>
              </w:rPr>
              <w:t>广汽集团</w:t>
            </w:r>
          </w:p>
        </w:tc>
        <w:tc>
          <w:tcPr>
            <w:vAlign w:val="center"/>
          </w:tcPr>
          <w:p>
            <w:pPr>
              <w:jc w:val="right"/>
            </w:pPr>
            <w:r>
              <w:rPr>
                <w:color w:val="000000"/>
                <w:sz w:val="24"/>
                <w:szCs w:val="24"/>
              </w:rPr>
              <w:t>2,700,000</w:t>
            </w:r>
          </w:p>
        </w:tc>
        <w:tc>
          <w:tcPr>
            <w:vAlign w:val="center"/>
          </w:tcPr>
          <w:p>
            <w:pPr>
              <w:jc w:val="right"/>
            </w:pPr>
            <w:r>
              <w:rPr>
                <w:color w:val="000000"/>
                <w:sz w:val="24"/>
                <w:szCs w:val="24"/>
              </w:rPr>
              <w:t>18,265,702.50</w:t>
            </w:r>
          </w:p>
        </w:tc>
        <w:tc>
          <w:tcPr>
            <w:vAlign w:val="center"/>
          </w:tcPr>
          <w:p>
            <w:pPr>
              <w:jc w:val="right"/>
            </w:pPr>
            <w:r>
              <w:rPr>
                <w:color w:val="000000"/>
                <w:sz w:val="24"/>
                <w:szCs w:val="24"/>
              </w:rPr>
              <w:t>4.25</w:t>
            </w:r>
          </w:p>
        </w:tc>
      </w:tr>
      <w:tr>
        <w:tc>
          <w:tcPr>
            <w:vAlign w:val="center"/>
          </w:tcPr>
          <w:p>
            <w:pPr>
              <w:jc w:val="center"/>
            </w:pPr>
            <w:r>
              <w:rPr>
                <w:color w:val="000000"/>
                <w:sz w:val="24"/>
                <w:szCs w:val="24"/>
              </w:rPr>
              <w:t>6</w:t>
            </w:r>
          </w:p>
        </w:tc>
        <w:tc>
          <w:tcPr>
            <w:vAlign w:val="center"/>
          </w:tcPr>
          <w:p>
            <w:pPr>
              <w:jc w:val="center"/>
            </w:pPr>
            <w:r>
              <w:rPr>
                <w:color w:val="000000"/>
                <w:sz w:val="24"/>
                <w:szCs w:val="24"/>
              </w:rPr>
              <w:t>600276</w:t>
            </w:r>
          </w:p>
        </w:tc>
        <w:tc>
          <w:tcPr>
            <w:vAlign w:val="center"/>
          </w:tcPr>
          <w:p>
            <w:pPr>
              <w:jc w:val="center"/>
            </w:pPr>
            <w:r>
              <w:rPr>
                <w:color w:val="000000"/>
                <w:sz w:val="24"/>
                <w:szCs w:val="24"/>
              </w:rPr>
              <w:t>恒瑞医药</w:t>
            </w:r>
          </w:p>
        </w:tc>
        <w:tc>
          <w:tcPr>
            <w:vAlign w:val="center"/>
          </w:tcPr>
          <w:p>
            <w:pPr>
              <w:jc w:val="right"/>
            </w:pPr>
            <w:r>
              <w:rPr>
                <w:color w:val="000000"/>
                <w:sz w:val="24"/>
                <w:szCs w:val="24"/>
              </w:rPr>
              <w:t>180,000</w:t>
            </w:r>
          </w:p>
        </w:tc>
        <w:tc>
          <w:tcPr>
            <w:vAlign w:val="center"/>
          </w:tcPr>
          <w:p>
            <w:pPr>
              <w:jc w:val="right"/>
            </w:pPr>
            <w:r>
              <w:rPr>
                <w:color w:val="000000"/>
                <w:sz w:val="24"/>
                <w:szCs w:val="24"/>
              </w:rPr>
              <w:t>14,522,400.00</w:t>
            </w:r>
          </w:p>
        </w:tc>
        <w:tc>
          <w:tcPr>
            <w:vAlign w:val="center"/>
          </w:tcPr>
          <w:p>
            <w:pPr>
              <w:jc w:val="right"/>
            </w:pPr>
            <w:r>
              <w:rPr>
                <w:color w:val="000000"/>
                <w:sz w:val="24"/>
                <w:szCs w:val="24"/>
              </w:rPr>
              <w:t>3.38</w:t>
            </w:r>
          </w:p>
        </w:tc>
      </w:tr>
      <w:tr>
        <w:tc>
          <w:tcPr>
            <w:vAlign w:val="center"/>
          </w:tcPr>
          <w:p>
            <w:pPr>
              <w:jc w:val="center"/>
            </w:pPr>
            <w:r>
              <w:rPr>
                <w:color w:val="000000"/>
                <w:sz w:val="24"/>
                <w:szCs w:val="24"/>
              </w:rPr>
              <w:t>7</w:t>
            </w:r>
          </w:p>
        </w:tc>
        <w:tc>
          <w:tcPr>
            <w:vAlign w:val="center"/>
          </w:tcPr>
          <w:p>
            <w:pPr>
              <w:jc w:val="center"/>
            </w:pPr>
            <w:r>
              <w:rPr>
                <w:color w:val="000000"/>
                <w:sz w:val="24"/>
                <w:szCs w:val="24"/>
              </w:rPr>
              <w:t>01347.HK</w:t>
            </w:r>
          </w:p>
        </w:tc>
        <w:tc>
          <w:tcPr>
            <w:vAlign w:val="center"/>
          </w:tcPr>
          <w:p>
            <w:pPr>
              <w:jc w:val="center"/>
            </w:pPr>
            <w:r>
              <w:rPr>
                <w:color w:val="000000"/>
                <w:sz w:val="24"/>
                <w:szCs w:val="24"/>
              </w:rPr>
              <w:t>华虹半导体</w:t>
            </w:r>
          </w:p>
        </w:tc>
        <w:tc>
          <w:tcPr>
            <w:vAlign w:val="center"/>
          </w:tcPr>
          <w:p>
            <w:pPr>
              <w:jc w:val="right"/>
            </w:pPr>
            <w:r>
              <w:rPr>
                <w:color w:val="000000"/>
                <w:sz w:val="24"/>
                <w:szCs w:val="24"/>
              </w:rPr>
              <w:t>1,000,000</w:t>
            </w:r>
          </w:p>
        </w:tc>
        <w:tc>
          <w:tcPr>
            <w:vAlign w:val="center"/>
          </w:tcPr>
          <w:p>
            <w:pPr>
              <w:jc w:val="right"/>
            </w:pPr>
            <w:r>
              <w:rPr>
                <w:color w:val="000000"/>
                <w:sz w:val="24"/>
                <w:szCs w:val="24"/>
              </w:rPr>
              <w:t>14,071,356.00</w:t>
            </w:r>
          </w:p>
        </w:tc>
        <w:tc>
          <w:tcPr>
            <w:vAlign w:val="center"/>
          </w:tcPr>
          <w:p>
            <w:pPr>
              <w:jc w:val="right"/>
            </w:pPr>
            <w:r>
              <w:rPr>
                <w:color w:val="000000"/>
                <w:sz w:val="24"/>
                <w:szCs w:val="24"/>
              </w:rPr>
              <w:t>3.27</w:t>
            </w:r>
          </w:p>
        </w:tc>
      </w:tr>
      <w:tr>
        <w:tc>
          <w:tcPr>
            <w:vAlign w:val="center"/>
          </w:tcPr>
          <w:p>
            <w:pPr>
              <w:jc w:val="center"/>
            </w:pPr>
            <w:r>
              <w:rPr>
                <w:color w:val="000000"/>
                <w:sz w:val="24"/>
                <w:szCs w:val="24"/>
              </w:rPr>
              <w:t>8</w:t>
            </w:r>
          </w:p>
        </w:tc>
        <w:tc>
          <w:tcPr>
            <w:vAlign w:val="center"/>
          </w:tcPr>
          <w:p>
            <w:pPr>
              <w:jc w:val="center"/>
            </w:pPr>
            <w:r>
              <w:rPr>
                <w:color w:val="000000"/>
                <w:sz w:val="24"/>
                <w:szCs w:val="24"/>
              </w:rPr>
              <w:t>002475</w:t>
            </w:r>
          </w:p>
        </w:tc>
        <w:tc>
          <w:tcPr>
            <w:vAlign w:val="center"/>
          </w:tcPr>
          <w:p>
            <w:pPr>
              <w:jc w:val="center"/>
            </w:pPr>
            <w:r>
              <w:rPr>
                <w:color w:val="000000"/>
                <w:sz w:val="24"/>
                <w:szCs w:val="24"/>
              </w:rPr>
              <w:t>立讯精密</w:t>
            </w:r>
          </w:p>
        </w:tc>
        <w:tc>
          <w:tcPr>
            <w:vAlign w:val="center"/>
          </w:tcPr>
          <w:p>
            <w:pPr>
              <w:jc w:val="right"/>
            </w:pPr>
            <w:r>
              <w:rPr>
                <w:color w:val="000000"/>
                <w:sz w:val="24"/>
                <w:szCs w:val="24"/>
              </w:rPr>
              <w:t>520,000</w:t>
            </w:r>
          </w:p>
        </w:tc>
        <w:tc>
          <w:tcPr>
            <w:vAlign w:val="center"/>
          </w:tcPr>
          <w:p>
            <w:pPr>
              <w:jc w:val="right"/>
            </w:pPr>
            <w:r>
              <w:rPr>
                <w:color w:val="000000"/>
                <w:sz w:val="24"/>
                <w:szCs w:val="24"/>
              </w:rPr>
              <w:t>13,915,200.00</w:t>
            </w:r>
          </w:p>
        </w:tc>
        <w:tc>
          <w:tcPr>
            <w:vAlign w:val="center"/>
          </w:tcPr>
          <w:p>
            <w:pPr>
              <w:jc w:val="right"/>
            </w:pPr>
            <w:r>
              <w:rPr>
                <w:color w:val="000000"/>
                <w:sz w:val="24"/>
                <w:szCs w:val="24"/>
              </w:rPr>
              <w:t>3.24</w:t>
            </w:r>
          </w:p>
        </w:tc>
      </w:tr>
      <w:tr>
        <w:tc>
          <w:tcPr>
            <w:vAlign w:val="center"/>
          </w:tcPr>
          <w:p>
            <w:pPr>
              <w:jc w:val="center"/>
            </w:pPr>
            <w:r>
              <w:rPr>
                <w:color w:val="000000"/>
                <w:sz w:val="24"/>
                <w:szCs w:val="24"/>
              </w:rPr>
              <w:t>9</w:t>
            </w:r>
          </w:p>
        </w:tc>
        <w:tc>
          <w:tcPr>
            <w:vAlign w:val="center"/>
          </w:tcPr>
          <w:p>
            <w:pPr>
              <w:jc w:val="center"/>
            </w:pPr>
            <w:r>
              <w:rPr>
                <w:color w:val="000000"/>
                <w:sz w:val="24"/>
                <w:szCs w:val="24"/>
              </w:rPr>
              <w:t>600036</w:t>
            </w:r>
          </w:p>
        </w:tc>
        <w:tc>
          <w:tcPr>
            <w:vAlign w:val="center"/>
          </w:tcPr>
          <w:p>
            <w:pPr>
              <w:jc w:val="center"/>
            </w:pPr>
            <w:r>
              <w:rPr>
                <w:color w:val="000000"/>
                <w:sz w:val="24"/>
                <w:szCs w:val="24"/>
              </w:rPr>
              <w:t>招商银行</w:t>
            </w:r>
          </w:p>
        </w:tc>
        <w:tc>
          <w:tcPr>
            <w:vAlign w:val="center"/>
          </w:tcPr>
          <w:p>
            <w:pPr>
              <w:jc w:val="right"/>
            </w:pPr>
            <w:r>
              <w:rPr>
                <w:color w:val="000000"/>
                <w:sz w:val="24"/>
                <w:szCs w:val="24"/>
              </w:rPr>
              <w:t>400,000</w:t>
            </w:r>
          </w:p>
        </w:tc>
        <w:tc>
          <w:tcPr>
            <w:vAlign w:val="center"/>
          </w:tcPr>
          <w:p>
            <w:pPr>
              <w:jc w:val="right"/>
            </w:pPr>
            <w:r>
              <w:rPr>
                <w:color w:val="000000"/>
                <w:sz w:val="24"/>
                <w:szCs w:val="24"/>
              </w:rPr>
              <w:t>13,900,000.00</w:t>
            </w:r>
          </w:p>
        </w:tc>
        <w:tc>
          <w:tcPr>
            <w:vAlign w:val="center"/>
          </w:tcPr>
          <w:p>
            <w:pPr>
              <w:jc w:val="right"/>
            </w:pPr>
            <w:r>
              <w:rPr>
                <w:color w:val="000000"/>
                <w:sz w:val="24"/>
                <w:szCs w:val="24"/>
              </w:rPr>
              <w:t>3.23</w:t>
            </w:r>
          </w:p>
        </w:tc>
      </w:tr>
      <w:tr>
        <w:tc>
          <w:tcPr>
            <w:vAlign w:val="center"/>
          </w:tcPr>
          <w:p>
            <w:pPr>
              <w:jc w:val="center"/>
            </w:pPr>
            <w:r>
              <w:rPr>
                <w:color w:val="000000"/>
                <w:sz w:val="24"/>
                <w:szCs w:val="24"/>
              </w:rPr>
              <w:t>10</w:t>
            </w:r>
          </w:p>
        </w:tc>
        <w:tc>
          <w:tcPr>
            <w:vAlign w:val="center"/>
          </w:tcPr>
          <w:p>
            <w:pPr>
              <w:jc w:val="center"/>
            </w:pPr>
            <w:r>
              <w:rPr>
                <w:color w:val="000000"/>
                <w:sz w:val="24"/>
                <w:szCs w:val="24"/>
              </w:rPr>
              <w:t>300207</w:t>
            </w:r>
          </w:p>
        </w:tc>
        <w:tc>
          <w:tcPr>
            <w:vAlign w:val="center"/>
          </w:tcPr>
          <w:p>
            <w:pPr>
              <w:jc w:val="center"/>
            </w:pPr>
            <w:r>
              <w:rPr>
                <w:color w:val="000000"/>
                <w:sz w:val="24"/>
                <w:szCs w:val="24"/>
              </w:rPr>
              <w:t>欣旺达</w:t>
            </w:r>
          </w:p>
        </w:tc>
        <w:tc>
          <w:tcPr>
            <w:vAlign w:val="center"/>
          </w:tcPr>
          <w:p>
            <w:pPr>
              <w:jc w:val="right"/>
            </w:pPr>
            <w:r>
              <w:rPr>
                <w:color w:val="000000"/>
                <w:sz w:val="24"/>
                <w:szCs w:val="24"/>
              </w:rPr>
              <w:t>900,000</w:t>
            </w:r>
          </w:p>
        </w:tc>
        <w:tc>
          <w:tcPr>
            <w:vAlign w:val="center"/>
          </w:tcPr>
          <w:p>
            <w:pPr>
              <w:jc w:val="right"/>
            </w:pPr>
            <w:r>
              <w:rPr>
                <w:color w:val="000000"/>
                <w:sz w:val="24"/>
                <w:szCs w:val="24"/>
              </w:rPr>
              <w:t>13,635,000.00</w:t>
            </w:r>
          </w:p>
        </w:tc>
        <w:tc>
          <w:tcPr>
            <w:vAlign w:val="center"/>
          </w:tcPr>
          <w:p>
            <w:pPr>
              <w:jc w:val="right"/>
            </w:pPr>
            <w:r>
              <w:rPr>
                <w:color w:val="000000"/>
                <w:sz w:val="24"/>
                <w:szCs w:val="24"/>
              </w:rPr>
              <w:t>3.17</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9C1009" w:rsidR="00CE7169" w:rsidRDefault="009C1009" w:rsidRPr="00CE716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Look w:firstColumn="1" w:firstRow="1" w:lastColumn="0" w:lastRow="0" w:noHBand="0" w:noVBand="1" w:val="04A0"/>
      </w:tblPr>
      <w:tblGrid>
        <w:gridCol w:w="828"/>
        <w:gridCol w:w="3302"/>
        <w:gridCol w:w="2987"/>
        <w:gridCol w:w="1751"/>
      </w:tblGrid>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序号</w:t>
            </w:r>
          </w:p>
        </w:tc>
        <w:tc>
          <w:tcPr>
            <w:tcW w:type="dxa" w:w="3302"/>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
        </w:tc>
        <w:tc>
          <w:tcPr>
            <w:tcW w:type="dxa" w:w="2987"/>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公允价值</w:t>
            </w:r>
          </w:p>
        </w:tc>
        <w:tc>
          <w:tcPr>
            <w:tcW w:type="dxa" w:w="1751"/>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1</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国家债券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lastRenderedPageBreak/>
              <w:t>2</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央行票据</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3</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金融债券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29,991,000.00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6.97</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其中：政策性金融债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29,991,000.00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6.97</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4</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5</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type="dxa" w:w="828"/>
            <w:vAlign w:val="center"/>
          </w:tcPr>
          <w:p w:rsidP="00C15CAC" w:rsidR="00FB41D3" w:rsidRDefault="00FB41D3" w:rsidRPr="00414345">
            <w:pPr>
              <w:spacing w:before="29" w:line="288" w:lineRule="auto"/>
              <w:ind w:left="17"/>
              <w:jc w:val="center"/>
              <w:rPr>
                <w:color w:val="000000"/>
                <w:sz w:val="24"/>
                <w:szCs w:val="24"/>
              </w:rPr>
            </w:pPr>
            <w:r w:rsidRPr="00414345">
              <w:rPr>
                <w:color w:val="000000"/>
                <w:sz w:val="24"/>
                <w:szCs w:val="24"/>
              </w:rPr>
              <w:t>6</w:t>
            </w:r>
          </w:p>
        </w:tc>
        <w:tc>
          <w:tcPr>
            <w:tcW w:type="dxa" w:w="3302"/>
            <w:vAlign w:val="center"/>
          </w:tcPr>
          <w:p w:rsidP="00C15CAC" w:rsidR="00FB41D3" w:rsidRDefault="00FB41D3" w:rsidRPr="00414345">
            <w:pPr>
              <w:spacing w:before="29" w:line="288" w:lineRule="auto"/>
              <w:ind w:left="17"/>
              <w:jc w:val="left"/>
              <w:rPr>
                <w:color w:val="000000"/>
                <w:sz w:val="24"/>
                <w:szCs w:val="24"/>
              </w:rPr>
            </w:pPr>
            <w:r w:rsidRPr="00414345">
              <w:rPr>
                <w:color w:val="000000"/>
                <w:sz w:val="24"/>
                <w:szCs w:val="24"/>
              </w:rPr>
              <w:t>中期票据</w:t>
            </w:r>
          </w:p>
        </w:tc>
        <w:tc>
          <w:tcPr>
            <w:tcW w:type="dxa" w:w="2987"/>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FB41D3" w:rsidRPr="00414345">
            <w:pPr>
              <w:spacing w:before="29" w:line="288" w:lineRule="auto"/>
              <w:ind w:left="17"/>
              <w:jc w:val="center"/>
              <w:rPr>
                <w:color w:val="000000"/>
                <w:sz w:val="24"/>
                <w:szCs w:val="24"/>
              </w:rPr>
            </w:pPr>
            <w:r w:rsidRPr="00414345">
              <w:rPr>
                <w:color w:val="000000"/>
                <w:sz w:val="24"/>
                <w:szCs w:val="24"/>
              </w:rPr>
              <w:lastRenderedPageBreak/>
              <w:t>7</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type="dxa" w:w="828"/>
            <w:vAlign w:val="center"/>
          </w:tcPr>
          <w:p w:rsidP="0006711A" w:rsidR="00F323FF" w:rsidRDefault="00F323FF" w:rsidRPr="007A70C2">
            <w:pPr>
              <w:spacing w:before="29" w:line="288" w:lineRule="auto"/>
              <w:ind w:left="17"/>
              <w:jc w:val="center"/>
              <w:rPr>
                <w:color w:val="000000"/>
                <w:sz w:val="24"/>
                <w:szCs w:val="24"/>
              </w:rPr>
            </w:pPr>
            <w:r w:rsidRPr="007A70C2">
              <w:rPr>
                <w:rFonts w:hint="eastAsia"/>
                <w:color w:val="000000"/>
                <w:sz w:val="24"/>
                <w:szCs w:val="24"/>
              </w:rPr>
              <w:t>8</w:t>
            </w:r>
          </w:p>
        </w:tc>
        <w:tc>
          <w:tcPr>
            <w:tcW w:type="dxa" w:w="3302"/>
            <w:vAlign w:val="center"/>
          </w:tcPr>
          <w:p w:rsidP="0006711A" w:rsidR="00F323FF" w:rsidRDefault="00F323FF" w:rsidRPr="007A70C2">
            <w:pPr>
              <w:spacing w:before="29" w:line="288" w:lineRule="auto"/>
              <w:ind w:left="17"/>
              <w:jc w:val="left"/>
              <w:rPr>
                <w:color w:val="000000"/>
                <w:sz w:val="24"/>
                <w:szCs w:val="24"/>
              </w:rPr>
            </w:pPr>
            <w:r w:rsidRPr="007A70C2">
              <w:rPr>
                <w:rFonts w:hint="eastAsia"/>
                <w:color w:val="000000"/>
                <w:sz w:val="24"/>
                <w:szCs w:val="24"/>
              </w:rPr>
              <w:t>同业存单</w:t>
            </w:r>
          </w:p>
        </w:tc>
        <w:tc>
          <w:tcPr>
            <w:tcW w:type="dxa" w:w="2987"/>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c>
          <w:tcPr>
            <w:tcW w:type="dxa" w:w="1751"/>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其他</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合计</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29,991,000.00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6.97</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9C1009" w:rsidR="005B4C8F" w:rsidRDefault="009C1009" w:rsidRPr="005B4C8F">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850"/>
        <w:gridCol w:w="1475"/>
        <w:gridCol w:w="1769"/>
        <w:gridCol w:w="1387"/>
        <w:gridCol w:w="2150"/>
        <w:gridCol w:w="1237"/>
      </w:tblGrid>
      <w:tr w:rsidR="00D57B7C" w:rsidRPr="00414345" w:rsidTr="00A324F4">
        <w:trPr>
          <w:jc w:val="center"/>
        </w:trPr>
        <w:tc>
          <w:tcPr>
            <w:tcW w:type="dxa" w:w="81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41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7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334"/>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type="dxa" w:w="206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p>
        </w:tc>
        <w:tc>
          <w:tcPr>
            <w:tcW w:type="dxa" w:w="119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w:t>
            </w:r>
            <w:r w:rsidRPr="00414345">
              <w:rPr>
                <w:color w:val="000000"/>
                <w:sz w:val="24"/>
                <w:szCs w:val="24"/>
              </w:rPr>
              <w:lastRenderedPageBreak/>
              <w:t>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190206</w:t>
            </w:r>
          </w:p>
        </w:tc>
        <w:tc>
          <w:tcPr>
            <w:vAlign w:val="center"/>
          </w:tcPr>
          <w:p>
            <w:pPr>
              <w:jc w:val="center"/>
            </w:pPr>
            <w:r>
              <w:rPr>
                <w:color w:val="000000"/>
                <w:sz w:val="24"/>
                <w:szCs w:val="24"/>
              </w:rPr>
              <w:t>19国开06</w:t>
            </w:r>
          </w:p>
        </w:tc>
        <w:tc>
          <w:tcPr>
            <w:vAlign w:val="center"/>
          </w:tcPr>
          <w:p>
            <w:pPr>
              <w:jc w:val="right"/>
            </w:pPr>
            <w:r>
              <w:rPr>
                <w:color w:val="000000"/>
                <w:sz w:val="24"/>
                <w:szCs w:val="24"/>
              </w:rPr>
              <w:t>300,000</w:t>
            </w:r>
          </w:p>
        </w:tc>
        <w:tc>
          <w:tcPr>
            <w:vAlign w:val="center"/>
          </w:tcPr>
          <w:p>
            <w:pPr>
              <w:jc w:val="right"/>
            </w:pPr>
            <w:r>
              <w:rPr>
                <w:color w:val="000000"/>
                <w:sz w:val="24"/>
                <w:szCs w:val="24"/>
              </w:rPr>
              <w:t>29,991,000.00</w:t>
            </w:r>
          </w:p>
        </w:tc>
        <w:tc>
          <w:tcPr>
            <w:vAlign w:val="center"/>
          </w:tcPr>
          <w:p>
            <w:pPr>
              <w:jc w:val="right"/>
            </w:pPr>
            <w:r>
              <w:rPr>
                <w:color w:val="000000"/>
                <w:sz w:val="24"/>
                <w:szCs w:val="24"/>
              </w:rPr>
              <w:t>6.97</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5.11.1报告期内本基金投资的前十名证券的发行主体未被监管部门立案调查，在本报告编制日前一年内本基金投资的前十名证券的发行主体未受到公开谴责和处罚。</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5.11.2本基金投资的前十名股票中，没有超出基金合同规定的备选股票库之外的股票。</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1,337,035.49</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4,674,270.55</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149,090.16</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361,299.52</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6,521,695.72</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P="00C15CAC" w:rsidR="004061AC" w:rsidRDefault="00D02347" w:rsidRPr="006B0D08">
      <w:pPr>
        <w:autoSpaceDE w:val="0"/>
        <w:autoSpaceDN w:val="0"/>
        <w:adjustRightInd w:val="0"/>
        <w:spacing w:before="29" w:line="288" w:lineRule="auto"/>
        <w:jc w:val="left"/>
        <w:rPr>
          <w:b/>
          <w:bCs/>
          <w:color w:val="000000"/>
          <w:kern w:val="0"/>
          <w:sz w:val="24"/>
          <w:szCs w:val="24"/>
        </w:rPr>
      </w:pPr>
      <w:bookmarkStart w:id="2" w:name="_GoBack"/>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bookmarkEnd w:id="2"/>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514,320,254.68</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4,526,000.22</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161,441,053.72</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357,405,201.18</w:t>
            </w:r>
          </w:p>
        </w:tc>
      </w:tr>
    </w:tbl>
    <w:p>
      <w:pPr>
        <w:autoSpaceDE w:val="0"/>
        <w:autoSpaceDN w:val="0"/>
        <w:adjustRightInd w:val="0"/>
        <w:spacing w:before="29" w:line="288" w:lineRule="auto"/>
        <w:jc w:val="left"/>
        <w:rPr>
          <w:color w:val="000000"/>
          <w:sz w:val="24"/>
          <w:szCs w:val="24"/>
        </w:rPr>
      </w:pPr>
      <w:r>
        <w:rPr>
          <w:color w:val="000000"/>
          <w:sz w:val="24"/>
          <w:szCs w:val="24"/>
        </w:rPr>
        <w:t>注：1、如果本报告期间发生转换入、红利再投业务，则总申购份额中包含该业务；</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3C50AD" w:rsidRDefault="003C50AD" w:rsidRPr="00220C32">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§8</w:t>
      </w:r>
      <w:r w:rsidRPr="00220C32">
        <w:rPr>
          <w:rFonts w:asciiTheme="minorEastAsia" w:eastAsiaTheme="minorEastAsia" w:hAnsiTheme="minorEastAsia"/>
          <w:color w:themeColor="text1" w:val="000000"/>
          <w:kern w:val="0"/>
          <w:sz w:val="24"/>
          <w:szCs w:val="24"/>
        </w:rPr>
        <w:t xml:space="preserve">  </w:t>
      </w:r>
      <w:r w:rsidRPr="00220C32">
        <w:rPr>
          <w:rFonts w:asciiTheme="minorEastAsia" w:eastAsiaTheme="minorEastAsia" w:hAnsiTheme="minorEastAsia" w:hint="eastAsia"/>
          <w:color w:themeColor="text1" w:val="000000"/>
          <w:kern w:val="0"/>
          <w:sz w:val="24"/>
          <w:szCs w:val="24"/>
        </w:rPr>
        <w:t>影响投资者决策的其他重要信息</w:t>
      </w:r>
    </w:p>
    <w:p w:rsidP="003C50AD" w:rsidR="003C50AD" w:rsidRDefault="003C50AD"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rsidR="003C50AD" w:rsidRPr="004F4D27" w:rsidTr="00424D30">
        <w:tc>
          <w:tcPr>
            <w:tcW w:type="dxa" w:w="993"/>
            <w:vMerge w:val="restart"/>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w:r>
            <w:r w:rsidRPr="004F4D27">
              <w:rPr>
                <w:rFonts w:ascii="宋体" w:hAnsi="宋体"/>
                <w:color w:val="000000"/>
                <w:kern w:val="0"/>
              </w:rPr>
              <w:lastRenderedPageBreak/>
              <w:t xml:space="preserve">  </w:t>
            </w:r>
          </w:p>
        </w:tc>
        <w:tc>
          <w:tcPr>
            <w:tcW w:type="dxa" w:w="5670"/>
            <w:gridSpan w:val="5"/>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lastRenderedPageBreak/>
              <w:t>报告期内持有基金份额变化情况</w:t>
            </w:r>
          </w:p>
        </w:tc>
        <w:tc>
          <w:tcPr>
            <w:tcW w:type="dxa" w:w="2549"/>
            <w:gridSpan w:val="2"/>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type="dxa" w:w="993"/>
            <w:vMerge/>
            <w:vAlign w:val="center"/>
          </w:tcPr>
          <w:p w:rsidP="00424D30" w:rsidR="003C50AD" w:rsidRDefault="003C50AD" w:rsidRPr="004F4D27">
            <w:pPr>
              <w:autoSpaceDE w:val="0"/>
              <w:autoSpaceDN w:val="0"/>
              <w:adjustRightInd w:val="0"/>
              <w:jc w:val="center"/>
              <w:rPr>
                <w:rFonts w:ascii="宋体" w:hAnsi="宋体"/>
                <w:b/>
                <w:bCs/>
                <w:color w:val="000000"/>
                <w:kern w:val="0"/>
              </w:rPr>
            </w:pPr>
          </w:p>
        </w:tc>
        <w:tc>
          <w:tcPr>
            <w:tcW w:type="dxa" w:w="992"/>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type="dxa" w:w="1843"/>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type="dxa" w:w="851"/>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期初份额</w:t>
            </w:r>
          </w:p>
        </w:tc>
        <w:tc>
          <w:tcPr>
            <w:tcW w:type="dxa" w:w="850"/>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申购份额</w:t>
            </w:r>
          </w:p>
        </w:tc>
        <w:tc>
          <w:tcPr>
            <w:tcW w:type="dxa" w:w="1134"/>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赎回份额</w:t>
            </w:r>
          </w:p>
        </w:tc>
        <w:tc>
          <w:tcPr>
            <w:tcW w:type="dxa" w:w="1419"/>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type="dxa" w:w="1130"/>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tc>
          <w:tcPr>
            <w:vMerge w:val="restart"/>
          </w:tcPr>
          <w:p/>
          <w:p>
            <w:r>
              <w:rPr>
                <w:rFonts w:ascii="宋体" w:hAnsi="宋体" w:hint="eastAsia"/>
                <w:bCs/>
                <w:color w:val="000000"/>
                <w:kern w:val="0"/>
              </w:rPr>
              <w:t>机构</w:t>
            </w:r>
          </w:p>
        </w:tc>
        <w:tc>
          <w:tcPr>
            <w:vAlign w:val="center"/>
          </w:tcPr>
          <w:p>
            <w:pPr>
              <w:jc w:val="center"/>
            </w:pPr>
            <w:r>
              <w:rPr>
                <w:rFonts w:ascii="宋体" w:hAnsi="宋体"/>
                <w:color w:val="000000"/>
                <w:kern w:val="0"/>
              </w:rPr>
              <w:t>1</w:t>
            </w:r>
          </w:p>
        </w:tc>
        <w:tc>
          <w:tcPr>
            <w:vAlign w:val="center"/>
          </w:tcPr>
          <w:p>
            <w:pPr>
              <w:jc w:val="center"/>
            </w:pPr>
            <w:r>
              <w:rPr>
                <w:rFonts w:ascii="宋体" w:hAnsi="宋体"/>
                <w:color w:val="000000"/>
                <w:kern w:val="0"/>
              </w:rPr>
              <w:t>2019/7/1-2019/9/30</w:t>
            </w:r>
          </w:p>
        </w:tc>
        <w:tc>
          <w:tcPr>
            <w:vAlign w:val="center"/>
          </w:tcPr>
          <w:p>
            <w:pPr>
              <w:jc w:val="center"/>
            </w:pPr>
            <w:r>
              <w:rPr>
                <w:rFonts w:ascii="宋体" w:hAnsi="宋体"/>
                <w:color w:val="000000"/>
                <w:kern w:val="0"/>
              </w:rPr>
              <w:t>156,993,386.51</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90,000,000.00</w:t>
            </w:r>
          </w:p>
        </w:tc>
        <w:tc>
          <w:tcPr>
            <w:vAlign w:val="center"/>
          </w:tcPr>
          <w:p>
            <w:pPr>
              <w:jc w:val="center"/>
            </w:pPr>
            <w:r>
              <w:rPr>
                <w:rFonts w:ascii="宋体" w:hAnsi="宋体"/>
                <w:color w:val="000000"/>
                <w:kern w:val="0"/>
              </w:rPr>
              <w:t>66,993,386.51</w:t>
            </w:r>
          </w:p>
        </w:tc>
        <w:tc>
          <w:tcPr>
            <w:vAlign w:val="center"/>
          </w:tcPr>
          <w:p>
            <w:pPr>
              <w:jc w:val="center"/>
            </w:pPr>
            <w:r>
              <w:rPr>
                <w:rFonts w:ascii="宋体" w:hAnsi="宋体"/>
                <w:color w:val="000000"/>
                <w:kern w:val="0"/>
              </w:rPr>
              <w:t>18.74%</w:t>
            </w:r>
          </w:p>
        </w:tc>
      </w:tr>
      <w:tr>
        <w:tc>
          <w:tcPr>
            <w:vMerge/>
          </w:tcPr>
          <w:p/>
        </w:tc>
        <w:tc>
          <w:tcPr>
            <w:vAlign w:val="center"/>
          </w:tcPr>
          <w:p>
            <w:pPr>
              <w:jc w:val="center"/>
            </w:pPr>
            <w:r>
              <w:rPr>
                <w:rFonts w:ascii="宋体" w:hAnsi="宋体"/>
                <w:color w:val="000000"/>
                <w:kern w:val="0"/>
              </w:rPr>
              <w:t>2</w:t>
            </w:r>
          </w:p>
        </w:tc>
        <w:tc>
          <w:tcPr>
            <w:vAlign w:val="center"/>
          </w:tcPr>
          <w:p>
            <w:pPr>
              <w:jc w:val="center"/>
            </w:pPr>
            <w:r>
              <w:rPr>
                <w:rFonts w:ascii="宋体" w:hAnsi="宋体"/>
                <w:color w:val="000000"/>
                <w:kern w:val="0"/>
              </w:rPr>
              <w:t>2019/7/1-2019/9/30</w:t>
            </w:r>
          </w:p>
        </w:tc>
        <w:tc>
          <w:tcPr>
            <w:vAlign w:val="center"/>
          </w:tcPr>
          <w:p>
            <w:pPr>
              <w:jc w:val="center"/>
            </w:pPr>
            <w:r>
              <w:rPr>
                <w:rFonts w:ascii="宋体" w:hAnsi="宋体"/>
                <w:color w:val="000000"/>
                <w:kern w:val="0"/>
              </w:rPr>
              <w:t>176,879,806.77</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46,381,261.60</w:t>
            </w:r>
          </w:p>
        </w:tc>
        <w:tc>
          <w:tcPr>
            <w:vAlign w:val="center"/>
          </w:tcPr>
          <w:p>
            <w:pPr>
              <w:jc w:val="center"/>
            </w:pPr>
            <w:r>
              <w:rPr>
                <w:rFonts w:ascii="宋体" w:hAnsi="宋体"/>
                <w:color w:val="000000"/>
                <w:kern w:val="0"/>
              </w:rPr>
              <w:t>130,498,545.17</w:t>
            </w:r>
          </w:p>
        </w:tc>
        <w:tc>
          <w:tcPr>
            <w:vAlign w:val="center"/>
          </w:tcPr>
          <w:p>
            <w:pPr>
              <w:jc w:val="center"/>
            </w:pPr>
            <w:r>
              <w:rPr>
                <w:rFonts w:ascii="宋体" w:hAnsi="宋体"/>
                <w:color w:val="000000"/>
                <w:kern w:val="0"/>
              </w:rPr>
              <w:t>36.51%</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rsidR="003C50AD" w:rsidRPr="004F4D27" w:rsidTr="00424D30">
        <w:tc>
          <w:tcPr>
            <w:tcW w:type="dxa" w:w="9212"/>
            <w:vAlign w:val="center"/>
          </w:tcPr>
          <w:p w:rsidP="00424D30" w:rsidR="003C50AD" w:rsidRDefault="003C50AD" w:rsidRPr="004F4D27">
            <w:pPr>
              <w:autoSpaceDE w:val="0"/>
              <w:autoSpaceDN w:val="0"/>
              <w:adjustRightInd w:val="0"/>
              <w:jc w:val="center"/>
              <w:rPr>
                <w:rFonts w:ascii="宋体" w:hAnsi="宋体"/>
                <w:kern w:val="0"/>
              </w:rPr>
            </w:pPr>
            <w:r w:rsidRPr="004F4D27">
              <w:rPr>
                <w:rFonts w:ascii="宋体" w:hAnsi="宋体"/>
                <w:color w:val="000000"/>
                <w:kern w:val="0"/>
              </w:rPr>
              <w:t>产品特有风险</w:t>
            </w:r>
            <w:r w:rsidRPr="004F4D27">
              <w:rPr>
                <w:rFonts w:ascii="宋体" w:hAnsi="宋体"/>
                <w:kern w:val="0"/>
              </w:rPr>
              <w:t/>
            </w:r>
            <w:r w:rsidRPr="004F4D27">
              <w:rPr>
                <w:rFonts w:ascii="宋体" w:hAnsi="宋体" w:hint="eastAsia"/>
                <w:kern w:val="0"/>
              </w:rPr>
              <w:t/>
            </w:r>
            <w:r w:rsidRPr="004F4D27">
              <w:rPr>
                <w:rFonts w:ascii="宋体" w:hAnsi="宋体"/>
                <w:kern w:val="0"/>
              </w:rPr>
              <w:t/>
            </w:r>
          </w:p>
        </w:tc>
      </w:tr>
      <w:tr w:rsidR="003C50AD" w:rsidRPr="004F4D27" w:rsidTr="00424D30">
        <w:tc>
          <w:tcPr>
            <w:tcW w:type="dxa" w:w="9212"/>
            <w:vAlign w:val="center"/>
          </w:tcPr>
          <w:p w:rsidP="00424D30" w:rsidR="003C50AD" w:rsidRDefault="003C50AD" w:rsidRPr="004F4D27">
            <w:pPr>
              <w:autoSpaceDE w:val="0"/>
              <w:autoSpaceDN w:val="0"/>
              <w:adjustRightInd w:val="0"/>
              <w:jc w:val="left"/>
              <w:rPr>
                <w:rFonts w:ascii="宋体" w:hAnsi="宋体"/>
                <w:kern w:val="0"/>
              </w:rPr>
            </w:pPr>
            <w:r w:rsidRPr="004F4D27">
              <w:rPr>
                <w:rFonts w:ascii="宋体" w:hAnsi="宋体" w:hint="eastAsia"/>
                <w:kern w:val="0"/>
              </w:rPr>
              <w:t/>
            </w:r>
            <w:r w:rsidRPr="004F4D27">
              <w:rPr>
                <w:rFonts w:ascii="宋体" w:hAnsi="宋体"/>
                <w:kern w:val="0"/>
              </w:rPr>
              <w:t/>
            </w: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r w:rsidRPr="004F4D27">
              <w:rPr>
                <w:rFonts w:ascii="宋体" w:hAnsi="宋体"/>
                <w:kern w:val="0"/>
              </w:rPr>
              <w:t/>
            </w:r>
          </w:p>
        </w:tc>
      </w:tr>
    </w:tbl>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1、中国证监会准予交银施罗德沪港深价值精选灵活配置混合型证券投资基金募集注册的文件； </w:t>
      </w:r>
    </w:p>
    <w:p>
      <w:pPr>
        <w:spacing w:before="29" w:line="288" w:lineRule="auto"/>
        <w:ind w:firstLine="480" w:firstLineChars="200"/>
        <w:rPr>
          <w:color w:val="000000"/>
          <w:sz w:val="24"/>
          <w:szCs w:val="24"/>
        </w:rPr>
      </w:pPr>
      <w:r>
        <w:rPr>
          <w:color w:val="000000"/>
          <w:sz w:val="24"/>
          <w:szCs w:val="24"/>
        </w:rPr>
        <w:t xml:space="preserve">2、《交银施罗德沪港深价值精选灵活配置混合型证券投资基金基金合同》； </w:t>
      </w:r>
    </w:p>
    <w:p>
      <w:pPr>
        <w:spacing w:before="29" w:line="288" w:lineRule="auto"/>
        <w:ind w:firstLine="480" w:firstLineChars="200"/>
        <w:rPr>
          <w:color w:val="000000"/>
          <w:sz w:val="24"/>
          <w:szCs w:val="24"/>
        </w:rPr>
      </w:pPr>
      <w:r>
        <w:rPr>
          <w:color w:val="000000"/>
          <w:sz w:val="24"/>
          <w:szCs w:val="24"/>
        </w:rPr>
        <w:t xml:space="preserve">3、《交银施罗德沪港深价值精选灵活配置混合型证券投资基金招募说明书》； </w:t>
      </w:r>
    </w:p>
    <w:p>
      <w:pPr>
        <w:spacing w:before="29" w:line="288" w:lineRule="auto"/>
        <w:ind w:firstLine="480" w:firstLineChars="200"/>
        <w:rPr>
          <w:color w:val="000000"/>
          <w:sz w:val="24"/>
          <w:szCs w:val="24"/>
        </w:rPr>
      </w:pPr>
      <w:r>
        <w:rPr>
          <w:color w:val="000000"/>
          <w:sz w:val="24"/>
          <w:szCs w:val="24"/>
        </w:rPr>
        <w:t xml:space="preserve">4、《交银施罗德沪港深价值精选灵活配置混合型证券投资基金托管协议》； </w:t>
      </w:r>
    </w:p>
    <w:p>
      <w:pPr>
        <w:spacing w:before="29" w:line="288" w:lineRule="auto"/>
        <w:ind w:firstLine="480" w:firstLineChars="200"/>
        <w:rPr>
          <w:color w:val="000000"/>
          <w:sz w:val="24"/>
          <w:szCs w:val="24"/>
        </w:rPr>
      </w:pPr>
      <w:r>
        <w:rPr>
          <w:color w:val="000000"/>
          <w:sz w:val="24"/>
          <w:szCs w:val="24"/>
        </w:rPr>
        <w:t xml:space="preserve">5、关于申请募集注册交银施罗德沪港深价值精选灵活配置混合型证券投资基金的法律意见书； </w:t>
      </w:r>
    </w:p>
    <w:p>
      <w:pPr>
        <w:spacing w:before="29" w:line="288" w:lineRule="auto"/>
        <w:ind w:firstLine="480" w:firstLineChars="200"/>
        <w:rPr>
          <w:color w:val="000000"/>
          <w:sz w:val="24"/>
          <w:szCs w:val="24"/>
        </w:rPr>
      </w:pPr>
      <w:r>
        <w:rPr>
          <w:color w:val="000000"/>
          <w:sz w:val="24"/>
          <w:szCs w:val="24"/>
        </w:rPr>
        <w:t xml:space="preserve">6、基金管理人业务资格批件、营业执照； </w:t>
      </w:r>
    </w:p>
    <w:p>
      <w:pPr>
        <w:spacing w:before="29" w:line="288" w:lineRule="auto"/>
        <w:ind w:firstLine="480" w:firstLineChars="200"/>
        <w:rPr>
          <w:color w:val="000000"/>
          <w:sz w:val="24"/>
          <w:szCs w:val="24"/>
        </w:rPr>
      </w:pPr>
      <w:r>
        <w:rPr>
          <w:color w:val="000000"/>
          <w:sz w:val="24"/>
          <w:szCs w:val="24"/>
        </w:rPr>
        <w:t xml:space="preserve">7、基金托管人业务资格批件、营业执照； </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8、报告期内交银施罗德沪港深价值精选灵活配置混合型证券投资基金在指定报刊上各项公告的原稿。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A00" w:rsidRDefault="00B83A00" w:rsidP="00876D65">
      <w:r>
        <w:separator/>
      </w:r>
    </w:p>
  </w:endnote>
  <w:endnote w:type="continuationSeparator" w:id="0">
    <w:p w:rsidR="00B83A00" w:rsidRDefault="00B83A00"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6B0D08">
      <w:rPr>
        <w:noProof/>
        <w:kern w:val="0"/>
        <w:szCs w:val="21"/>
      </w:rPr>
      <w:t>18</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6B0D08">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B83A00" w:rsidRDefault="00B83A00">
      <w:r>
        <w:separator/>
      </w:r>
    </w:p>
  </w:footnote>
  <w:footnote w:id="0" w:type="continuationSeparator">
    <w:p w:rsidP="00876D65" w:rsidR="00B83A00" w:rsidRDefault="00B83A00">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交银施罗德沪港深价值精选灵活配置混合型证券投资基金2019年第3季度报告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34F0-22B9-46A2-A0CE-73A273E3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2019-08-22T08:30:00Z</dcterms:modified>
  <cp:revision>597</cp:revision>
</cp:coreProperties>
</file>