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交银施罗德策略回报灵活配置混合型证券投资基金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基金托管人：中信银行股份有限公司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二〇一九年十月二十二日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9B09C9" w:rsidRDefault="002B60B2">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9B09C9" w:rsidRDefault="002B60B2">
      <w:pPr>
        <w:spacing w:before="29" w:line="288" w:lineRule="auto"/>
        <w:ind w:firstLineChars="200" w:firstLine="480"/>
        <w:rPr>
          <w:color w:val="000000"/>
          <w:sz w:val="24"/>
          <w:szCs w:val="24"/>
        </w:rPr>
      </w:pPr>
      <w:r>
        <w:rPr>
          <w:color w:val="000000"/>
          <w:sz w:val="24"/>
          <w:szCs w:val="24"/>
        </w:rPr>
        <w:t>基金托管人中信银行股份有限公司根据本基金合同规定，于</w:t>
      </w:r>
      <w:r>
        <w:rPr>
          <w:color w:val="000000"/>
          <w:sz w:val="24"/>
          <w:szCs w:val="24"/>
        </w:rPr>
        <w:t>2019</w:t>
      </w:r>
      <w:r>
        <w:rPr>
          <w:color w:val="000000"/>
          <w:sz w:val="24"/>
          <w:szCs w:val="24"/>
        </w:rPr>
        <w:t>年</w:t>
      </w:r>
      <w:r>
        <w:rPr>
          <w:color w:val="000000"/>
          <w:sz w:val="24"/>
          <w:szCs w:val="24"/>
        </w:rPr>
        <w:t>10</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9B09C9" w:rsidRDefault="002B60B2">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9B09C9" w:rsidRDefault="002B60B2">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9B09C9" w:rsidRDefault="002B60B2">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交银策略回报灵活配置混合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519710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519710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2015</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27</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698,947,748.74</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本基金根据对宏观经济周期和市场环境的分析研究，自上而下配置资产，并通过对类属资产灵活运用多种投资策略，力争实现基金资产的长期稳定增值。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本基金将通过</w:t>
            </w:r>
            <w:r w:rsidRPr="00414345">
              <w:rPr>
                <w:color w:val="000000"/>
                <w:kern w:val="0"/>
                <w:sz w:val="24"/>
                <w:szCs w:val="24"/>
              </w:rPr>
              <w:t>“</w:t>
            </w:r>
            <w:r w:rsidRPr="00414345">
              <w:rPr>
                <w:color w:val="000000"/>
                <w:kern w:val="0"/>
                <w:sz w:val="24"/>
                <w:szCs w:val="24"/>
              </w:rPr>
              <w:t>自上而下</w:t>
            </w:r>
            <w:r w:rsidRPr="00414345">
              <w:rPr>
                <w:color w:val="000000"/>
                <w:kern w:val="0"/>
                <w:sz w:val="24"/>
                <w:szCs w:val="24"/>
              </w:rPr>
              <w:t>”</w:t>
            </w:r>
            <w:r w:rsidRPr="00414345">
              <w:rPr>
                <w:color w:val="000000"/>
                <w:kern w:val="0"/>
                <w:sz w:val="24"/>
                <w:szCs w:val="24"/>
              </w:rPr>
              <w:t>的定性分析和定量分析相结合以实现大类资产的灵活配置。本基金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本基金为混合型证券投资基金，其预期收益和风险高于货币市场基金、债券型基金，而低于股票型基金，属于证券投资基金中的中高风险品种。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F6D4F" w:rsidRPr="00414345" w:rsidTr="002F6D4F">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2F6D4F" w:rsidRPr="00414345" w:rsidTr="002F6D4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56,045,739.31</w:t>
            </w:r>
          </w:p>
        </w:tc>
      </w:tr>
      <w:tr w:rsidR="002F6D4F" w:rsidRPr="00414345" w:rsidTr="002F6D4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19,391,628.99</w:t>
            </w:r>
          </w:p>
        </w:tc>
      </w:tr>
      <w:tr w:rsidR="002F6D4F" w:rsidRPr="00414345" w:rsidTr="002F6D4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0.0246</w:t>
            </w:r>
          </w:p>
        </w:tc>
      </w:tr>
      <w:tr w:rsidR="002F6D4F" w:rsidRPr="00414345" w:rsidTr="002F6D4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787,111,306.10</w:t>
            </w:r>
          </w:p>
        </w:tc>
      </w:tr>
      <w:tr w:rsidR="002F6D4F" w:rsidRPr="00414345" w:rsidTr="002F6D4F">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1.126</w:t>
            </w:r>
          </w:p>
        </w:tc>
      </w:tr>
    </w:tbl>
    <w:p w:rsidR="009B09C9" w:rsidRDefault="002B60B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9B09C9">
        <w:trPr>
          <w:jc w:val="center"/>
        </w:trPr>
        <w:tc>
          <w:tcPr>
            <w:tcW w:w="1701" w:type="dxa"/>
            <w:vAlign w:val="center"/>
          </w:tcPr>
          <w:p w:rsidR="009B09C9" w:rsidRDefault="002B60B2">
            <w:pPr>
              <w:jc w:val="left"/>
            </w:pPr>
            <w:r>
              <w:rPr>
                <w:color w:val="000000"/>
                <w:sz w:val="24"/>
                <w:szCs w:val="24"/>
              </w:rPr>
              <w:t>过去三个月</w:t>
            </w:r>
          </w:p>
        </w:tc>
        <w:tc>
          <w:tcPr>
            <w:tcW w:w="1045" w:type="dxa"/>
            <w:vAlign w:val="center"/>
          </w:tcPr>
          <w:p w:rsidR="009B09C9" w:rsidRDefault="002B60B2">
            <w:pPr>
              <w:jc w:val="center"/>
            </w:pPr>
            <w:r>
              <w:rPr>
                <w:color w:val="000000"/>
                <w:sz w:val="24"/>
                <w:szCs w:val="24"/>
              </w:rPr>
              <w:t>2.98%</w:t>
            </w:r>
          </w:p>
        </w:tc>
        <w:tc>
          <w:tcPr>
            <w:tcW w:w="1344" w:type="dxa"/>
            <w:vAlign w:val="center"/>
          </w:tcPr>
          <w:p w:rsidR="009B09C9" w:rsidRDefault="002B60B2">
            <w:pPr>
              <w:jc w:val="center"/>
            </w:pPr>
            <w:r>
              <w:rPr>
                <w:color w:val="000000"/>
                <w:sz w:val="24"/>
                <w:szCs w:val="24"/>
              </w:rPr>
              <w:t>1.09%</w:t>
            </w:r>
          </w:p>
        </w:tc>
        <w:tc>
          <w:tcPr>
            <w:tcW w:w="1194" w:type="dxa"/>
            <w:vAlign w:val="center"/>
          </w:tcPr>
          <w:p w:rsidR="009B09C9" w:rsidRDefault="002B60B2">
            <w:pPr>
              <w:jc w:val="center"/>
            </w:pPr>
            <w:r>
              <w:rPr>
                <w:color w:val="000000"/>
                <w:sz w:val="24"/>
                <w:szCs w:val="24"/>
              </w:rPr>
              <w:t>0.45%</w:t>
            </w:r>
          </w:p>
        </w:tc>
        <w:tc>
          <w:tcPr>
            <w:tcW w:w="1492" w:type="dxa"/>
            <w:vAlign w:val="center"/>
          </w:tcPr>
          <w:p w:rsidR="009B09C9" w:rsidRDefault="002B60B2">
            <w:pPr>
              <w:jc w:val="center"/>
            </w:pPr>
            <w:r>
              <w:rPr>
                <w:color w:val="000000"/>
                <w:sz w:val="24"/>
                <w:szCs w:val="24"/>
              </w:rPr>
              <w:t>0.57%</w:t>
            </w:r>
          </w:p>
        </w:tc>
        <w:tc>
          <w:tcPr>
            <w:tcW w:w="1194" w:type="dxa"/>
            <w:vAlign w:val="center"/>
          </w:tcPr>
          <w:p w:rsidR="009B09C9" w:rsidRDefault="002B60B2">
            <w:pPr>
              <w:jc w:val="center"/>
            </w:pPr>
            <w:r>
              <w:rPr>
                <w:color w:val="000000"/>
                <w:sz w:val="24"/>
                <w:szCs w:val="24"/>
              </w:rPr>
              <w:t>2.53%</w:t>
            </w:r>
          </w:p>
        </w:tc>
        <w:tc>
          <w:tcPr>
            <w:tcW w:w="898" w:type="dxa"/>
            <w:vAlign w:val="center"/>
          </w:tcPr>
          <w:p w:rsidR="009B09C9" w:rsidRDefault="002B60B2">
            <w:pPr>
              <w:jc w:val="center"/>
            </w:pPr>
            <w:r>
              <w:rPr>
                <w:color w:val="000000"/>
                <w:sz w:val="24"/>
                <w:szCs w:val="24"/>
              </w:rPr>
              <w:t>0.52%</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交银施罗德策略回报灵活配置混合型证券投资基金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27</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注：本基金由交银施罗德荣安保本混合型证券投资基金转型而来。基金转型日为</w:t>
      </w:r>
      <w:r w:rsidRPr="00414345">
        <w:rPr>
          <w:color w:val="000000"/>
          <w:sz w:val="24"/>
          <w:szCs w:val="24"/>
        </w:rPr>
        <w:t>2015</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27</w:t>
      </w:r>
      <w:r w:rsidRPr="00414345">
        <w:rPr>
          <w:color w:val="000000"/>
          <w:sz w:val="24"/>
          <w:szCs w:val="24"/>
        </w:rPr>
        <w:t>日。本基金的投资转型期为交银施罗德荣安保本混合型证券投资基金保本周期到期选择期截止日次日（即</w:t>
      </w:r>
      <w:r w:rsidRPr="00414345">
        <w:rPr>
          <w:color w:val="000000"/>
          <w:sz w:val="24"/>
          <w:szCs w:val="24"/>
        </w:rPr>
        <w:t>2015</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27</w:t>
      </w:r>
      <w:r w:rsidRPr="00414345">
        <w:rPr>
          <w:color w:val="000000"/>
          <w:sz w:val="24"/>
          <w:szCs w:val="24"/>
        </w:rPr>
        <w:t>日）起的</w:t>
      </w:r>
      <w:r w:rsidRPr="00414345">
        <w:rPr>
          <w:color w:val="000000"/>
          <w:sz w:val="24"/>
          <w:szCs w:val="24"/>
        </w:rPr>
        <w:t>3</w:t>
      </w:r>
      <w:r w:rsidRPr="00414345">
        <w:rPr>
          <w:color w:val="000000"/>
          <w:sz w:val="24"/>
          <w:szCs w:val="24"/>
        </w:rPr>
        <w:t>个月。截至投资转型期结束，本基金各项资产配置比例符合基金合同及招募说明书有关投资比例的约定。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9B09C9">
        <w:trPr>
          <w:jc w:val="center"/>
        </w:trPr>
        <w:tc>
          <w:tcPr>
            <w:tcW w:w="846" w:type="dxa"/>
            <w:vAlign w:val="center"/>
          </w:tcPr>
          <w:p w:rsidR="009B09C9" w:rsidRDefault="002B60B2">
            <w:pPr>
              <w:jc w:val="center"/>
            </w:pPr>
            <w:r>
              <w:rPr>
                <w:color w:val="000000"/>
                <w:sz w:val="24"/>
                <w:szCs w:val="24"/>
              </w:rPr>
              <w:t>韩威俊</w:t>
            </w:r>
          </w:p>
        </w:tc>
        <w:tc>
          <w:tcPr>
            <w:tcW w:w="845" w:type="dxa"/>
            <w:vAlign w:val="center"/>
          </w:tcPr>
          <w:p w:rsidR="009B09C9" w:rsidRDefault="002B60B2">
            <w:pPr>
              <w:jc w:val="center"/>
            </w:pPr>
            <w:r>
              <w:rPr>
                <w:color w:val="000000"/>
                <w:sz w:val="24"/>
                <w:szCs w:val="24"/>
              </w:rPr>
              <w:t>交银趋势混合、交银策略回报</w:t>
            </w:r>
            <w:r>
              <w:rPr>
                <w:color w:val="000000"/>
                <w:sz w:val="24"/>
                <w:szCs w:val="24"/>
              </w:rPr>
              <w:lastRenderedPageBreak/>
              <w:t>灵活配置混合、交银消费新驱动股票、交银股息优化混合、交银品质升级混合的基金经理</w:t>
            </w:r>
          </w:p>
        </w:tc>
        <w:tc>
          <w:tcPr>
            <w:tcW w:w="1549" w:type="dxa"/>
            <w:vAlign w:val="center"/>
          </w:tcPr>
          <w:p w:rsidR="009B09C9" w:rsidRDefault="002B60B2">
            <w:pPr>
              <w:jc w:val="center"/>
            </w:pPr>
            <w:r>
              <w:rPr>
                <w:color w:val="000000"/>
                <w:sz w:val="24"/>
                <w:szCs w:val="24"/>
              </w:rPr>
              <w:lastRenderedPageBreak/>
              <w:t>2016-01-20</w:t>
            </w:r>
          </w:p>
        </w:tc>
        <w:tc>
          <w:tcPr>
            <w:tcW w:w="1548" w:type="dxa"/>
            <w:vAlign w:val="center"/>
          </w:tcPr>
          <w:p w:rsidR="009B09C9" w:rsidRDefault="002B60B2">
            <w:pPr>
              <w:jc w:val="center"/>
            </w:pPr>
            <w:r>
              <w:rPr>
                <w:color w:val="000000"/>
                <w:sz w:val="24"/>
                <w:szCs w:val="24"/>
              </w:rPr>
              <w:t>-</w:t>
            </w:r>
          </w:p>
        </w:tc>
        <w:tc>
          <w:tcPr>
            <w:tcW w:w="1407" w:type="dxa"/>
            <w:vAlign w:val="center"/>
          </w:tcPr>
          <w:p w:rsidR="009B09C9" w:rsidRDefault="002B60B2">
            <w:pPr>
              <w:jc w:val="center"/>
            </w:pPr>
            <w:r>
              <w:rPr>
                <w:color w:val="000000"/>
                <w:sz w:val="24"/>
                <w:szCs w:val="24"/>
              </w:rPr>
              <w:t>13</w:t>
            </w:r>
            <w:r>
              <w:rPr>
                <w:color w:val="000000"/>
                <w:sz w:val="24"/>
                <w:szCs w:val="24"/>
              </w:rPr>
              <w:t>年</w:t>
            </w:r>
          </w:p>
        </w:tc>
        <w:tc>
          <w:tcPr>
            <w:tcW w:w="2673" w:type="dxa"/>
            <w:vAlign w:val="center"/>
          </w:tcPr>
          <w:p w:rsidR="009B09C9" w:rsidRDefault="002B60B2">
            <w:r>
              <w:rPr>
                <w:color w:val="000000"/>
                <w:sz w:val="24"/>
                <w:szCs w:val="24"/>
              </w:rPr>
              <w:t>韩威俊先生，上海财经大学金融学硕士。历任申银万国证券研究所助理分析师、北京鼎天资产管理有限公司董事助理、申银万国证券研究</w:t>
            </w:r>
            <w:r>
              <w:rPr>
                <w:color w:val="000000"/>
                <w:sz w:val="24"/>
                <w:szCs w:val="24"/>
              </w:rPr>
              <w:lastRenderedPageBreak/>
              <w:t>所行业分析师、信诚基金管理有限公司投资分析师。</w:t>
            </w:r>
            <w:r>
              <w:rPr>
                <w:color w:val="000000"/>
                <w:sz w:val="24"/>
                <w:szCs w:val="24"/>
              </w:rPr>
              <w:t>2013</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9B09C9" w:rsidRDefault="002B60B2">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9B09C9" w:rsidRDefault="002B60B2">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9B09C9" w:rsidRDefault="002B60B2">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w:t>
      </w:r>
      <w:r>
        <w:rPr>
          <w:color w:val="000000"/>
          <w:sz w:val="24"/>
          <w:szCs w:val="24"/>
        </w:rPr>
        <w:lastRenderedPageBreak/>
        <w:t>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9B09C9" w:rsidRDefault="002B60B2">
      <w:pPr>
        <w:spacing w:before="29" w:line="288" w:lineRule="auto"/>
        <w:ind w:firstLineChars="200" w:firstLine="480"/>
        <w:rPr>
          <w:color w:val="000000"/>
          <w:sz w:val="24"/>
          <w:szCs w:val="24"/>
        </w:rPr>
      </w:pPr>
      <w:r>
        <w:rPr>
          <w:color w:val="000000"/>
          <w:sz w:val="24"/>
          <w:szCs w:val="24"/>
        </w:rPr>
        <w:t>回顾</w:t>
      </w:r>
      <w:r>
        <w:rPr>
          <w:color w:val="000000"/>
          <w:sz w:val="24"/>
          <w:szCs w:val="24"/>
        </w:rPr>
        <w:t>2019</w:t>
      </w:r>
      <w:r>
        <w:rPr>
          <w:color w:val="000000"/>
          <w:sz w:val="24"/>
          <w:szCs w:val="24"/>
        </w:rPr>
        <w:t>年三季度，中美贸易战基本已告一段落，也没有出现更为严峻的趋势。利率市场化以后，整个长端利率水平开始出现下行趋势，市场风险偏好出现明显提升。</w:t>
      </w:r>
    </w:p>
    <w:p w:rsidR="009B09C9" w:rsidRDefault="002B60B2">
      <w:pPr>
        <w:spacing w:before="29" w:line="288" w:lineRule="auto"/>
        <w:ind w:firstLineChars="200" w:firstLine="480"/>
        <w:rPr>
          <w:color w:val="000000"/>
          <w:sz w:val="24"/>
          <w:szCs w:val="24"/>
        </w:rPr>
      </w:pPr>
      <w:r>
        <w:rPr>
          <w:color w:val="000000"/>
          <w:sz w:val="24"/>
          <w:szCs w:val="24"/>
        </w:rPr>
        <w:t>本基金在</w:t>
      </w:r>
      <w:r>
        <w:rPr>
          <w:color w:val="000000"/>
          <w:sz w:val="24"/>
          <w:szCs w:val="24"/>
        </w:rPr>
        <w:t>2019</w:t>
      </w:r>
      <w:r>
        <w:rPr>
          <w:color w:val="000000"/>
          <w:sz w:val="24"/>
          <w:szCs w:val="24"/>
        </w:rPr>
        <w:t>年三季度基本上围绕着消费白马龙头作为底仓的配置思路，个股集中度依然维持在较高水平。重仓股做了适当的调整，减持了部分中报低于预期，三季报可能会继续下调盈利预测的个股，增持了部分商业地产公司，获得一定绝对收益，但是相对收益不明显。</w:t>
      </w:r>
    </w:p>
    <w:p w:rsidR="009B09C9" w:rsidRDefault="002B60B2">
      <w:pPr>
        <w:spacing w:before="29" w:line="288" w:lineRule="auto"/>
        <w:ind w:firstLineChars="200" w:firstLine="480"/>
        <w:rPr>
          <w:color w:val="000000"/>
          <w:sz w:val="24"/>
          <w:szCs w:val="24"/>
        </w:rPr>
      </w:pPr>
      <w:r>
        <w:rPr>
          <w:color w:val="000000"/>
          <w:sz w:val="24"/>
          <w:szCs w:val="24"/>
        </w:rPr>
        <w:t>展望</w:t>
      </w:r>
      <w:r>
        <w:rPr>
          <w:color w:val="000000"/>
          <w:sz w:val="24"/>
          <w:szCs w:val="24"/>
        </w:rPr>
        <w:t>2019</w:t>
      </w:r>
      <w:r>
        <w:rPr>
          <w:color w:val="000000"/>
          <w:sz w:val="24"/>
          <w:szCs w:val="24"/>
        </w:rPr>
        <w:t>年四季度，随着长</w:t>
      </w:r>
      <w:r>
        <w:rPr>
          <w:color w:val="000000"/>
          <w:sz w:val="24"/>
          <w:szCs w:val="24"/>
        </w:rPr>
        <w:t>端利率进一步下行，外资配置比例提高，整个市场的流动性会继续改善，市场未来将进入稳定的上涨周期。但是，由于宏观经济放缓，各个行业的增速也出现比较明显的放缓，个股基本面分化会更加明显。预计四季度全市场基本面将逐步见底，明年会出现好转。</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w:t>
      </w:r>
      <w:r w:rsidR="002F6D4F">
        <w:rPr>
          <w:rFonts w:hint="eastAsia"/>
          <w:color w:val="000000"/>
          <w:sz w:val="24"/>
          <w:szCs w:val="24"/>
        </w:rPr>
        <w:t>基金</w:t>
      </w:r>
      <w:bookmarkStart w:id="0" w:name="_GoBack"/>
      <w:bookmarkEnd w:id="0"/>
      <w:r w:rsidRPr="00414345">
        <w:rPr>
          <w:color w:val="000000"/>
          <w:sz w:val="24"/>
          <w:szCs w:val="24"/>
        </w:rPr>
        <w:t>在四季度将保持消费白马和地产作为底仓的配置思路，适度增加银行、地产以及医药的配置比例。</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lastRenderedPageBreak/>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627,536,112.10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78.58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627,536,112.10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78.58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162,091,599.25</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20.30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8,931,728.09</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1.12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798,559,439.44</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500,577,835.92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63.60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32,255,056.00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89,432,114.34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11.36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5,271,105.84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627,536,112.10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79.73</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9B09C9">
        <w:trPr>
          <w:jc w:val="center"/>
        </w:trPr>
        <w:tc>
          <w:tcPr>
            <w:tcW w:w="855" w:type="dxa"/>
            <w:vAlign w:val="center"/>
          </w:tcPr>
          <w:p w:rsidR="009B09C9" w:rsidRDefault="002B60B2">
            <w:pPr>
              <w:jc w:val="center"/>
            </w:pPr>
            <w:r>
              <w:rPr>
                <w:color w:val="000000"/>
                <w:sz w:val="24"/>
                <w:szCs w:val="24"/>
              </w:rPr>
              <w:t>1</w:t>
            </w:r>
          </w:p>
        </w:tc>
        <w:tc>
          <w:tcPr>
            <w:tcW w:w="1334" w:type="dxa"/>
            <w:vAlign w:val="center"/>
          </w:tcPr>
          <w:p w:rsidR="009B09C9" w:rsidRDefault="002B60B2">
            <w:pPr>
              <w:jc w:val="center"/>
            </w:pPr>
            <w:r>
              <w:rPr>
                <w:color w:val="000000"/>
                <w:sz w:val="24"/>
                <w:szCs w:val="24"/>
              </w:rPr>
              <w:t>600519</w:t>
            </w:r>
          </w:p>
        </w:tc>
        <w:tc>
          <w:tcPr>
            <w:tcW w:w="1777" w:type="dxa"/>
            <w:vAlign w:val="center"/>
          </w:tcPr>
          <w:p w:rsidR="009B09C9" w:rsidRDefault="002B60B2">
            <w:pPr>
              <w:jc w:val="center"/>
            </w:pPr>
            <w:r>
              <w:rPr>
                <w:color w:val="000000"/>
                <w:sz w:val="24"/>
                <w:szCs w:val="24"/>
              </w:rPr>
              <w:t>贵州茅台</w:t>
            </w:r>
          </w:p>
        </w:tc>
        <w:tc>
          <w:tcPr>
            <w:tcW w:w="1334" w:type="dxa"/>
            <w:vAlign w:val="center"/>
          </w:tcPr>
          <w:p w:rsidR="009B09C9" w:rsidRDefault="002B60B2">
            <w:pPr>
              <w:jc w:val="right"/>
            </w:pPr>
            <w:r>
              <w:rPr>
                <w:color w:val="000000"/>
                <w:sz w:val="24"/>
                <w:szCs w:val="24"/>
              </w:rPr>
              <w:t>62,693</w:t>
            </w:r>
          </w:p>
        </w:tc>
        <w:tc>
          <w:tcPr>
            <w:tcW w:w="1924" w:type="dxa"/>
            <w:vAlign w:val="center"/>
          </w:tcPr>
          <w:p w:rsidR="009B09C9" w:rsidRDefault="002B60B2">
            <w:pPr>
              <w:jc w:val="right"/>
            </w:pPr>
            <w:r>
              <w:rPr>
                <w:color w:val="000000"/>
                <w:sz w:val="24"/>
                <w:szCs w:val="24"/>
              </w:rPr>
              <w:t>72,096,950.00</w:t>
            </w:r>
          </w:p>
        </w:tc>
        <w:tc>
          <w:tcPr>
            <w:tcW w:w="1644" w:type="dxa"/>
            <w:vAlign w:val="center"/>
          </w:tcPr>
          <w:p w:rsidR="009B09C9" w:rsidRDefault="002B60B2">
            <w:pPr>
              <w:jc w:val="right"/>
            </w:pPr>
            <w:r>
              <w:rPr>
                <w:color w:val="000000"/>
                <w:sz w:val="24"/>
                <w:szCs w:val="24"/>
              </w:rPr>
              <w:t>9.16</w:t>
            </w:r>
          </w:p>
        </w:tc>
      </w:tr>
      <w:tr w:rsidR="009B09C9">
        <w:trPr>
          <w:jc w:val="center"/>
        </w:trPr>
        <w:tc>
          <w:tcPr>
            <w:tcW w:w="855" w:type="dxa"/>
            <w:vAlign w:val="center"/>
          </w:tcPr>
          <w:p w:rsidR="009B09C9" w:rsidRDefault="002B60B2">
            <w:pPr>
              <w:jc w:val="center"/>
            </w:pPr>
            <w:r>
              <w:rPr>
                <w:color w:val="000000"/>
                <w:sz w:val="24"/>
                <w:szCs w:val="24"/>
              </w:rPr>
              <w:t>2</w:t>
            </w:r>
          </w:p>
        </w:tc>
        <w:tc>
          <w:tcPr>
            <w:tcW w:w="1334" w:type="dxa"/>
            <w:vAlign w:val="center"/>
          </w:tcPr>
          <w:p w:rsidR="009B09C9" w:rsidRDefault="002B60B2">
            <w:pPr>
              <w:jc w:val="center"/>
            </w:pPr>
            <w:r>
              <w:rPr>
                <w:color w:val="000000"/>
                <w:sz w:val="24"/>
                <w:szCs w:val="24"/>
              </w:rPr>
              <w:t>300146</w:t>
            </w:r>
          </w:p>
        </w:tc>
        <w:tc>
          <w:tcPr>
            <w:tcW w:w="1777" w:type="dxa"/>
            <w:vAlign w:val="center"/>
          </w:tcPr>
          <w:p w:rsidR="009B09C9" w:rsidRDefault="002B60B2">
            <w:pPr>
              <w:jc w:val="center"/>
            </w:pPr>
            <w:r>
              <w:rPr>
                <w:color w:val="000000"/>
                <w:sz w:val="24"/>
                <w:szCs w:val="24"/>
              </w:rPr>
              <w:t>汤臣倍健</w:t>
            </w:r>
          </w:p>
        </w:tc>
        <w:tc>
          <w:tcPr>
            <w:tcW w:w="1334" w:type="dxa"/>
            <w:vAlign w:val="center"/>
          </w:tcPr>
          <w:p w:rsidR="009B09C9" w:rsidRDefault="002B60B2">
            <w:pPr>
              <w:jc w:val="right"/>
            </w:pPr>
            <w:r>
              <w:rPr>
                <w:color w:val="000000"/>
                <w:sz w:val="24"/>
                <w:szCs w:val="24"/>
              </w:rPr>
              <w:t>3,814,129</w:t>
            </w:r>
          </w:p>
        </w:tc>
        <w:tc>
          <w:tcPr>
            <w:tcW w:w="1924" w:type="dxa"/>
            <w:vAlign w:val="center"/>
          </w:tcPr>
          <w:p w:rsidR="009B09C9" w:rsidRDefault="002B60B2">
            <w:pPr>
              <w:jc w:val="right"/>
            </w:pPr>
            <w:r>
              <w:rPr>
                <w:color w:val="000000"/>
                <w:sz w:val="24"/>
                <w:szCs w:val="24"/>
              </w:rPr>
              <w:t>70,637,669.08</w:t>
            </w:r>
          </w:p>
        </w:tc>
        <w:tc>
          <w:tcPr>
            <w:tcW w:w="1644" w:type="dxa"/>
            <w:vAlign w:val="center"/>
          </w:tcPr>
          <w:p w:rsidR="009B09C9" w:rsidRDefault="002B60B2">
            <w:pPr>
              <w:jc w:val="right"/>
            </w:pPr>
            <w:r>
              <w:rPr>
                <w:color w:val="000000"/>
                <w:sz w:val="24"/>
                <w:szCs w:val="24"/>
              </w:rPr>
              <w:t>8.97</w:t>
            </w:r>
          </w:p>
        </w:tc>
      </w:tr>
      <w:tr w:rsidR="009B09C9">
        <w:trPr>
          <w:jc w:val="center"/>
        </w:trPr>
        <w:tc>
          <w:tcPr>
            <w:tcW w:w="855" w:type="dxa"/>
            <w:vAlign w:val="center"/>
          </w:tcPr>
          <w:p w:rsidR="009B09C9" w:rsidRDefault="002B60B2">
            <w:pPr>
              <w:jc w:val="center"/>
            </w:pPr>
            <w:r>
              <w:rPr>
                <w:color w:val="000000"/>
                <w:sz w:val="24"/>
                <w:szCs w:val="24"/>
              </w:rPr>
              <w:t>3</w:t>
            </w:r>
          </w:p>
        </w:tc>
        <w:tc>
          <w:tcPr>
            <w:tcW w:w="1334" w:type="dxa"/>
            <w:vAlign w:val="center"/>
          </w:tcPr>
          <w:p w:rsidR="009B09C9" w:rsidRDefault="002B60B2">
            <w:pPr>
              <w:jc w:val="center"/>
            </w:pPr>
            <w:r>
              <w:rPr>
                <w:color w:val="000000"/>
                <w:sz w:val="24"/>
                <w:szCs w:val="24"/>
              </w:rPr>
              <w:t>000858</w:t>
            </w:r>
          </w:p>
        </w:tc>
        <w:tc>
          <w:tcPr>
            <w:tcW w:w="1777" w:type="dxa"/>
            <w:vAlign w:val="center"/>
          </w:tcPr>
          <w:p w:rsidR="009B09C9" w:rsidRDefault="002B60B2">
            <w:pPr>
              <w:jc w:val="center"/>
            </w:pPr>
            <w:r>
              <w:rPr>
                <w:color w:val="000000"/>
                <w:sz w:val="24"/>
                <w:szCs w:val="24"/>
              </w:rPr>
              <w:t>五粮液</w:t>
            </w:r>
          </w:p>
        </w:tc>
        <w:tc>
          <w:tcPr>
            <w:tcW w:w="1334" w:type="dxa"/>
            <w:vAlign w:val="center"/>
          </w:tcPr>
          <w:p w:rsidR="009B09C9" w:rsidRDefault="002B60B2">
            <w:pPr>
              <w:jc w:val="right"/>
            </w:pPr>
            <w:r>
              <w:rPr>
                <w:color w:val="000000"/>
                <w:sz w:val="24"/>
                <w:szCs w:val="24"/>
              </w:rPr>
              <w:t>536,175</w:t>
            </w:r>
          </w:p>
        </w:tc>
        <w:tc>
          <w:tcPr>
            <w:tcW w:w="1924" w:type="dxa"/>
            <w:vAlign w:val="center"/>
          </w:tcPr>
          <w:p w:rsidR="009B09C9" w:rsidRDefault="002B60B2">
            <w:pPr>
              <w:jc w:val="right"/>
            </w:pPr>
            <w:r>
              <w:rPr>
                <w:color w:val="000000"/>
                <w:sz w:val="24"/>
                <w:szCs w:val="24"/>
              </w:rPr>
              <w:t>69,595,515.00</w:t>
            </w:r>
          </w:p>
        </w:tc>
        <w:tc>
          <w:tcPr>
            <w:tcW w:w="1644" w:type="dxa"/>
            <w:vAlign w:val="center"/>
          </w:tcPr>
          <w:p w:rsidR="009B09C9" w:rsidRDefault="002B60B2">
            <w:pPr>
              <w:jc w:val="right"/>
            </w:pPr>
            <w:r>
              <w:rPr>
                <w:color w:val="000000"/>
                <w:sz w:val="24"/>
                <w:szCs w:val="24"/>
              </w:rPr>
              <w:t>8.84</w:t>
            </w:r>
          </w:p>
        </w:tc>
      </w:tr>
      <w:tr w:rsidR="009B09C9">
        <w:trPr>
          <w:jc w:val="center"/>
        </w:trPr>
        <w:tc>
          <w:tcPr>
            <w:tcW w:w="855" w:type="dxa"/>
            <w:vAlign w:val="center"/>
          </w:tcPr>
          <w:p w:rsidR="009B09C9" w:rsidRDefault="002B60B2">
            <w:pPr>
              <w:jc w:val="center"/>
            </w:pPr>
            <w:r>
              <w:rPr>
                <w:color w:val="000000"/>
                <w:sz w:val="24"/>
                <w:szCs w:val="24"/>
              </w:rPr>
              <w:t>4</w:t>
            </w:r>
          </w:p>
        </w:tc>
        <w:tc>
          <w:tcPr>
            <w:tcW w:w="1334" w:type="dxa"/>
            <w:vAlign w:val="center"/>
          </w:tcPr>
          <w:p w:rsidR="009B09C9" w:rsidRDefault="002B60B2">
            <w:pPr>
              <w:jc w:val="center"/>
            </w:pPr>
            <w:r>
              <w:rPr>
                <w:color w:val="000000"/>
                <w:sz w:val="24"/>
                <w:szCs w:val="24"/>
              </w:rPr>
              <w:t>603369</w:t>
            </w:r>
          </w:p>
        </w:tc>
        <w:tc>
          <w:tcPr>
            <w:tcW w:w="1777" w:type="dxa"/>
            <w:vAlign w:val="center"/>
          </w:tcPr>
          <w:p w:rsidR="009B09C9" w:rsidRDefault="002B60B2">
            <w:pPr>
              <w:jc w:val="center"/>
            </w:pPr>
            <w:r>
              <w:rPr>
                <w:color w:val="000000"/>
                <w:sz w:val="24"/>
                <w:szCs w:val="24"/>
              </w:rPr>
              <w:t>今世缘</w:t>
            </w:r>
          </w:p>
        </w:tc>
        <w:tc>
          <w:tcPr>
            <w:tcW w:w="1334" w:type="dxa"/>
            <w:vAlign w:val="center"/>
          </w:tcPr>
          <w:p w:rsidR="009B09C9" w:rsidRDefault="002B60B2">
            <w:pPr>
              <w:jc w:val="right"/>
            </w:pPr>
            <w:r>
              <w:rPr>
                <w:color w:val="000000"/>
                <w:sz w:val="24"/>
                <w:szCs w:val="24"/>
              </w:rPr>
              <w:t>2,126,268</w:t>
            </w:r>
          </w:p>
        </w:tc>
        <w:tc>
          <w:tcPr>
            <w:tcW w:w="1924" w:type="dxa"/>
            <w:vAlign w:val="center"/>
          </w:tcPr>
          <w:p w:rsidR="009B09C9" w:rsidRDefault="002B60B2">
            <w:pPr>
              <w:jc w:val="right"/>
            </w:pPr>
            <w:r>
              <w:rPr>
                <w:color w:val="000000"/>
                <w:sz w:val="24"/>
                <w:szCs w:val="24"/>
              </w:rPr>
              <w:t>68,720,981.76</w:t>
            </w:r>
          </w:p>
        </w:tc>
        <w:tc>
          <w:tcPr>
            <w:tcW w:w="1644" w:type="dxa"/>
            <w:vAlign w:val="center"/>
          </w:tcPr>
          <w:p w:rsidR="009B09C9" w:rsidRDefault="002B60B2">
            <w:pPr>
              <w:jc w:val="right"/>
            </w:pPr>
            <w:r>
              <w:rPr>
                <w:color w:val="000000"/>
                <w:sz w:val="24"/>
                <w:szCs w:val="24"/>
              </w:rPr>
              <w:t>8.73</w:t>
            </w:r>
          </w:p>
        </w:tc>
      </w:tr>
      <w:tr w:rsidR="009B09C9">
        <w:trPr>
          <w:jc w:val="center"/>
        </w:trPr>
        <w:tc>
          <w:tcPr>
            <w:tcW w:w="855" w:type="dxa"/>
            <w:vAlign w:val="center"/>
          </w:tcPr>
          <w:p w:rsidR="009B09C9" w:rsidRDefault="002B60B2">
            <w:pPr>
              <w:jc w:val="center"/>
            </w:pPr>
            <w:r>
              <w:rPr>
                <w:color w:val="000000"/>
                <w:sz w:val="24"/>
                <w:szCs w:val="24"/>
              </w:rPr>
              <w:t>5</w:t>
            </w:r>
          </w:p>
        </w:tc>
        <w:tc>
          <w:tcPr>
            <w:tcW w:w="1334" w:type="dxa"/>
            <w:vAlign w:val="center"/>
          </w:tcPr>
          <w:p w:rsidR="009B09C9" w:rsidRDefault="002B60B2">
            <w:pPr>
              <w:jc w:val="center"/>
            </w:pPr>
            <w:r>
              <w:rPr>
                <w:color w:val="000000"/>
                <w:sz w:val="24"/>
                <w:szCs w:val="24"/>
              </w:rPr>
              <w:t>000651</w:t>
            </w:r>
          </w:p>
        </w:tc>
        <w:tc>
          <w:tcPr>
            <w:tcW w:w="1777" w:type="dxa"/>
            <w:vAlign w:val="center"/>
          </w:tcPr>
          <w:p w:rsidR="009B09C9" w:rsidRDefault="002B60B2">
            <w:pPr>
              <w:jc w:val="center"/>
            </w:pPr>
            <w:r>
              <w:rPr>
                <w:color w:val="000000"/>
                <w:sz w:val="24"/>
                <w:szCs w:val="24"/>
              </w:rPr>
              <w:t>格力电器</w:t>
            </w:r>
          </w:p>
        </w:tc>
        <w:tc>
          <w:tcPr>
            <w:tcW w:w="1334" w:type="dxa"/>
            <w:vAlign w:val="center"/>
          </w:tcPr>
          <w:p w:rsidR="009B09C9" w:rsidRDefault="002B60B2">
            <w:pPr>
              <w:jc w:val="right"/>
            </w:pPr>
            <w:r>
              <w:rPr>
                <w:color w:val="000000"/>
                <w:sz w:val="24"/>
                <w:szCs w:val="24"/>
              </w:rPr>
              <w:t>959,488</w:t>
            </w:r>
          </w:p>
        </w:tc>
        <w:tc>
          <w:tcPr>
            <w:tcW w:w="1924" w:type="dxa"/>
            <w:vAlign w:val="center"/>
          </w:tcPr>
          <w:p w:rsidR="009B09C9" w:rsidRDefault="002B60B2">
            <w:pPr>
              <w:jc w:val="right"/>
            </w:pPr>
            <w:r>
              <w:rPr>
                <w:color w:val="000000"/>
                <w:sz w:val="24"/>
                <w:szCs w:val="24"/>
              </w:rPr>
              <w:t>54,978,662.40</w:t>
            </w:r>
          </w:p>
        </w:tc>
        <w:tc>
          <w:tcPr>
            <w:tcW w:w="1644" w:type="dxa"/>
            <w:vAlign w:val="center"/>
          </w:tcPr>
          <w:p w:rsidR="009B09C9" w:rsidRDefault="002B60B2">
            <w:pPr>
              <w:jc w:val="right"/>
            </w:pPr>
            <w:r>
              <w:rPr>
                <w:color w:val="000000"/>
                <w:sz w:val="24"/>
                <w:szCs w:val="24"/>
              </w:rPr>
              <w:t>6.98</w:t>
            </w:r>
          </w:p>
        </w:tc>
      </w:tr>
      <w:tr w:rsidR="009B09C9">
        <w:trPr>
          <w:jc w:val="center"/>
        </w:trPr>
        <w:tc>
          <w:tcPr>
            <w:tcW w:w="855" w:type="dxa"/>
            <w:vAlign w:val="center"/>
          </w:tcPr>
          <w:p w:rsidR="009B09C9" w:rsidRDefault="002B60B2">
            <w:pPr>
              <w:jc w:val="center"/>
            </w:pPr>
            <w:r>
              <w:rPr>
                <w:color w:val="000000"/>
                <w:sz w:val="24"/>
                <w:szCs w:val="24"/>
              </w:rPr>
              <w:t>6</w:t>
            </w:r>
          </w:p>
        </w:tc>
        <w:tc>
          <w:tcPr>
            <w:tcW w:w="1334" w:type="dxa"/>
            <w:vAlign w:val="center"/>
          </w:tcPr>
          <w:p w:rsidR="009B09C9" w:rsidRDefault="002B60B2">
            <w:pPr>
              <w:jc w:val="center"/>
            </w:pPr>
            <w:r>
              <w:rPr>
                <w:color w:val="000000"/>
                <w:sz w:val="24"/>
                <w:szCs w:val="24"/>
              </w:rPr>
              <w:t>603886</w:t>
            </w:r>
          </w:p>
        </w:tc>
        <w:tc>
          <w:tcPr>
            <w:tcW w:w="1777" w:type="dxa"/>
            <w:vAlign w:val="center"/>
          </w:tcPr>
          <w:p w:rsidR="009B09C9" w:rsidRDefault="002B60B2">
            <w:pPr>
              <w:jc w:val="center"/>
            </w:pPr>
            <w:r>
              <w:rPr>
                <w:color w:val="000000"/>
                <w:sz w:val="24"/>
                <w:szCs w:val="24"/>
              </w:rPr>
              <w:t>元祖股份</w:t>
            </w:r>
          </w:p>
        </w:tc>
        <w:tc>
          <w:tcPr>
            <w:tcW w:w="1334" w:type="dxa"/>
            <w:vAlign w:val="center"/>
          </w:tcPr>
          <w:p w:rsidR="009B09C9" w:rsidRDefault="002B60B2">
            <w:pPr>
              <w:jc w:val="right"/>
            </w:pPr>
            <w:r>
              <w:rPr>
                <w:color w:val="000000"/>
                <w:sz w:val="24"/>
                <w:szCs w:val="24"/>
              </w:rPr>
              <w:t>1,823,209</w:t>
            </w:r>
          </w:p>
        </w:tc>
        <w:tc>
          <w:tcPr>
            <w:tcW w:w="1924" w:type="dxa"/>
            <w:vAlign w:val="center"/>
          </w:tcPr>
          <w:p w:rsidR="009B09C9" w:rsidRDefault="002B60B2">
            <w:pPr>
              <w:jc w:val="right"/>
            </w:pPr>
            <w:r>
              <w:rPr>
                <w:color w:val="000000"/>
                <w:sz w:val="24"/>
                <w:szCs w:val="24"/>
              </w:rPr>
              <w:t>34,130,472.48</w:t>
            </w:r>
          </w:p>
        </w:tc>
        <w:tc>
          <w:tcPr>
            <w:tcW w:w="1644" w:type="dxa"/>
            <w:vAlign w:val="center"/>
          </w:tcPr>
          <w:p w:rsidR="009B09C9" w:rsidRDefault="002B60B2">
            <w:pPr>
              <w:jc w:val="right"/>
            </w:pPr>
            <w:r>
              <w:rPr>
                <w:color w:val="000000"/>
                <w:sz w:val="24"/>
                <w:szCs w:val="24"/>
              </w:rPr>
              <w:t>4.34</w:t>
            </w:r>
          </w:p>
        </w:tc>
      </w:tr>
      <w:tr w:rsidR="009B09C9">
        <w:trPr>
          <w:jc w:val="center"/>
        </w:trPr>
        <w:tc>
          <w:tcPr>
            <w:tcW w:w="855" w:type="dxa"/>
            <w:vAlign w:val="center"/>
          </w:tcPr>
          <w:p w:rsidR="009B09C9" w:rsidRDefault="002B60B2">
            <w:pPr>
              <w:jc w:val="center"/>
            </w:pPr>
            <w:r>
              <w:rPr>
                <w:color w:val="000000"/>
                <w:sz w:val="24"/>
                <w:szCs w:val="24"/>
              </w:rPr>
              <w:t>7</w:t>
            </w:r>
          </w:p>
        </w:tc>
        <w:tc>
          <w:tcPr>
            <w:tcW w:w="1334" w:type="dxa"/>
            <w:vAlign w:val="center"/>
          </w:tcPr>
          <w:p w:rsidR="009B09C9" w:rsidRDefault="002B60B2">
            <w:pPr>
              <w:jc w:val="center"/>
            </w:pPr>
            <w:r>
              <w:rPr>
                <w:color w:val="000000"/>
                <w:sz w:val="24"/>
                <w:szCs w:val="24"/>
              </w:rPr>
              <w:t>000002</w:t>
            </w:r>
          </w:p>
        </w:tc>
        <w:tc>
          <w:tcPr>
            <w:tcW w:w="1777" w:type="dxa"/>
            <w:vAlign w:val="center"/>
          </w:tcPr>
          <w:p w:rsidR="009B09C9" w:rsidRDefault="002B60B2">
            <w:pPr>
              <w:jc w:val="center"/>
            </w:pPr>
            <w:r>
              <w:rPr>
                <w:color w:val="000000"/>
                <w:sz w:val="24"/>
                <w:szCs w:val="24"/>
              </w:rPr>
              <w:t>万科</w:t>
            </w:r>
            <w:r>
              <w:rPr>
                <w:color w:val="000000"/>
                <w:sz w:val="24"/>
                <w:szCs w:val="24"/>
              </w:rPr>
              <w:t>A</w:t>
            </w:r>
          </w:p>
        </w:tc>
        <w:tc>
          <w:tcPr>
            <w:tcW w:w="1334" w:type="dxa"/>
            <w:vAlign w:val="center"/>
          </w:tcPr>
          <w:p w:rsidR="009B09C9" w:rsidRDefault="002B60B2">
            <w:pPr>
              <w:jc w:val="right"/>
            </w:pPr>
            <w:r>
              <w:rPr>
                <w:color w:val="000000"/>
                <w:sz w:val="24"/>
                <w:szCs w:val="24"/>
              </w:rPr>
              <w:t>1,054,200</w:t>
            </w:r>
          </w:p>
        </w:tc>
        <w:tc>
          <w:tcPr>
            <w:tcW w:w="1924" w:type="dxa"/>
            <w:vAlign w:val="center"/>
          </w:tcPr>
          <w:p w:rsidR="009B09C9" w:rsidRDefault="002B60B2">
            <w:pPr>
              <w:jc w:val="right"/>
            </w:pPr>
            <w:r>
              <w:rPr>
                <w:color w:val="000000"/>
                <w:sz w:val="24"/>
                <w:szCs w:val="24"/>
              </w:rPr>
              <w:t>27,303,780.00</w:t>
            </w:r>
          </w:p>
        </w:tc>
        <w:tc>
          <w:tcPr>
            <w:tcW w:w="1644" w:type="dxa"/>
            <w:vAlign w:val="center"/>
          </w:tcPr>
          <w:p w:rsidR="009B09C9" w:rsidRDefault="002B60B2">
            <w:pPr>
              <w:jc w:val="right"/>
            </w:pPr>
            <w:r>
              <w:rPr>
                <w:color w:val="000000"/>
                <w:sz w:val="24"/>
                <w:szCs w:val="24"/>
              </w:rPr>
              <w:t>3.47</w:t>
            </w:r>
          </w:p>
        </w:tc>
      </w:tr>
      <w:tr w:rsidR="009B09C9">
        <w:trPr>
          <w:jc w:val="center"/>
        </w:trPr>
        <w:tc>
          <w:tcPr>
            <w:tcW w:w="855" w:type="dxa"/>
            <w:vAlign w:val="center"/>
          </w:tcPr>
          <w:p w:rsidR="009B09C9" w:rsidRDefault="002B60B2">
            <w:pPr>
              <w:jc w:val="center"/>
            </w:pPr>
            <w:r>
              <w:rPr>
                <w:color w:val="000000"/>
                <w:sz w:val="24"/>
                <w:szCs w:val="24"/>
              </w:rPr>
              <w:t>8</w:t>
            </w:r>
          </w:p>
        </w:tc>
        <w:tc>
          <w:tcPr>
            <w:tcW w:w="1334" w:type="dxa"/>
            <w:vAlign w:val="center"/>
          </w:tcPr>
          <w:p w:rsidR="009B09C9" w:rsidRDefault="002B60B2">
            <w:pPr>
              <w:jc w:val="center"/>
            </w:pPr>
            <w:r>
              <w:rPr>
                <w:color w:val="000000"/>
                <w:sz w:val="24"/>
                <w:szCs w:val="24"/>
              </w:rPr>
              <w:t>600887</w:t>
            </w:r>
          </w:p>
        </w:tc>
        <w:tc>
          <w:tcPr>
            <w:tcW w:w="1777" w:type="dxa"/>
            <w:vAlign w:val="center"/>
          </w:tcPr>
          <w:p w:rsidR="009B09C9" w:rsidRDefault="002B60B2">
            <w:pPr>
              <w:jc w:val="center"/>
            </w:pPr>
            <w:r>
              <w:rPr>
                <w:color w:val="000000"/>
                <w:sz w:val="24"/>
                <w:szCs w:val="24"/>
              </w:rPr>
              <w:t>伊利股份</w:t>
            </w:r>
          </w:p>
        </w:tc>
        <w:tc>
          <w:tcPr>
            <w:tcW w:w="1334" w:type="dxa"/>
            <w:vAlign w:val="center"/>
          </w:tcPr>
          <w:p w:rsidR="009B09C9" w:rsidRDefault="002B60B2">
            <w:pPr>
              <w:jc w:val="right"/>
            </w:pPr>
            <w:r>
              <w:rPr>
                <w:color w:val="000000"/>
                <w:sz w:val="24"/>
                <w:szCs w:val="24"/>
              </w:rPr>
              <w:t>907,893</w:t>
            </w:r>
          </w:p>
        </w:tc>
        <w:tc>
          <w:tcPr>
            <w:tcW w:w="1924" w:type="dxa"/>
            <w:vAlign w:val="center"/>
          </w:tcPr>
          <w:p w:rsidR="009B09C9" w:rsidRDefault="002B60B2">
            <w:pPr>
              <w:jc w:val="right"/>
            </w:pPr>
            <w:r>
              <w:rPr>
                <w:color w:val="000000"/>
                <w:sz w:val="24"/>
                <w:szCs w:val="24"/>
              </w:rPr>
              <w:t>25,893,108.36</w:t>
            </w:r>
          </w:p>
        </w:tc>
        <w:tc>
          <w:tcPr>
            <w:tcW w:w="1644" w:type="dxa"/>
            <w:vAlign w:val="center"/>
          </w:tcPr>
          <w:p w:rsidR="009B09C9" w:rsidRDefault="002B60B2">
            <w:pPr>
              <w:jc w:val="right"/>
            </w:pPr>
            <w:r>
              <w:rPr>
                <w:color w:val="000000"/>
                <w:sz w:val="24"/>
                <w:szCs w:val="24"/>
              </w:rPr>
              <w:t>3.29</w:t>
            </w:r>
          </w:p>
        </w:tc>
      </w:tr>
      <w:tr w:rsidR="009B09C9">
        <w:trPr>
          <w:jc w:val="center"/>
        </w:trPr>
        <w:tc>
          <w:tcPr>
            <w:tcW w:w="855" w:type="dxa"/>
            <w:vAlign w:val="center"/>
          </w:tcPr>
          <w:p w:rsidR="009B09C9" w:rsidRDefault="002B60B2">
            <w:pPr>
              <w:jc w:val="center"/>
            </w:pPr>
            <w:r>
              <w:rPr>
                <w:color w:val="000000"/>
                <w:sz w:val="24"/>
                <w:szCs w:val="24"/>
              </w:rPr>
              <w:t>9</w:t>
            </w:r>
          </w:p>
        </w:tc>
        <w:tc>
          <w:tcPr>
            <w:tcW w:w="1334" w:type="dxa"/>
            <w:vAlign w:val="center"/>
          </w:tcPr>
          <w:p w:rsidR="009B09C9" w:rsidRDefault="002B60B2">
            <w:pPr>
              <w:jc w:val="center"/>
            </w:pPr>
            <w:r>
              <w:rPr>
                <w:color w:val="000000"/>
                <w:sz w:val="24"/>
                <w:szCs w:val="24"/>
              </w:rPr>
              <w:t>600048</w:t>
            </w:r>
          </w:p>
        </w:tc>
        <w:tc>
          <w:tcPr>
            <w:tcW w:w="1777" w:type="dxa"/>
            <w:vAlign w:val="center"/>
          </w:tcPr>
          <w:p w:rsidR="009B09C9" w:rsidRDefault="002B60B2">
            <w:pPr>
              <w:jc w:val="center"/>
            </w:pPr>
            <w:r>
              <w:rPr>
                <w:color w:val="000000"/>
                <w:sz w:val="24"/>
                <w:szCs w:val="24"/>
              </w:rPr>
              <w:t>保利地产</w:t>
            </w:r>
          </w:p>
        </w:tc>
        <w:tc>
          <w:tcPr>
            <w:tcW w:w="1334" w:type="dxa"/>
            <w:vAlign w:val="center"/>
          </w:tcPr>
          <w:p w:rsidR="009B09C9" w:rsidRDefault="002B60B2">
            <w:pPr>
              <w:jc w:val="right"/>
            </w:pPr>
            <w:r>
              <w:rPr>
                <w:color w:val="000000"/>
                <w:sz w:val="24"/>
                <w:szCs w:val="24"/>
              </w:rPr>
              <w:t>1,715,634</w:t>
            </w:r>
          </w:p>
        </w:tc>
        <w:tc>
          <w:tcPr>
            <w:tcW w:w="1924" w:type="dxa"/>
            <w:vAlign w:val="center"/>
          </w:tcPr>
          <w:p w:rsidR="009B09C9" w:rsidRDefault="002B60B2">
            <w:pPr>
              <w:jc w:val="right"/>
            </w:pPr>
            <w:r>
              <w:rPr>
                <w:color w:val="000000"/>
                <w:sz w:val="24"/>
                <w:szCs w:val="24"/>
              </w:rPr>
              <w:t>24,533,566.20</w:t>
            </w:r>
          </w:p>
        </w:tc>
        <w:tc>
          <w:tcPr>
            <w:tcW w:w="1644" w:type="dxa"/>
            <w:vAlign w:val="center"/>
          </w:tcPr>
          <w:p w:rsidR="009B09C9" w:rsidRDefault="002B60B2">
            <w:pPr>
              <w:jc w:val="right"/>
            </w:pPr>
            <w:r>
              <w:rPr>
                <w:color w:val="000000"/>
                <w:sz w:val="24"/>
                <w:szCs w:val="24"/>
              </w:rPr>
              <w:t>3.12</w:t>
            </w:r>
          </w:p>
        </w:tc>
      </w:tr>
      <w:tr w:rsidR="009B09C9">
        <w:trPr>
          <w:jc w:val="center"/>
        </w:trPr>
        <w:tc>
          <w:tcPr>
            <w:tcW w:w="855" w:type="dxa"/>
            <w:vAlign w:val="center"/>
          </w:tcPr>
          <w:p w:rsidR="009B09C9" w:rsidRDefault="002B60B2">
            <w:pPr>
              <w:jc w:val="center"/>
            </w:pPr>
            <w:r>
              <w:rPr>
                <w:color w:val="000000"/>
                <w:sz w:val="24"/>
                <w:szCs w:val="24"/>
              </w:rPr>
              <w:t>10</w:t>
            </w:r>
          </w:p>
        </w:tc>
        <w:tc>
          <w:tcPr>
            <w:tcW w:w="1334" w:type="dxa"/>
            <w:vAlign w:val="center"/>
          </w:tcPr>
          <w:p w:rsidR="009B09C9" w:rsidRDefault="002B60B2">
            <w:pPr>
              <w:jc w:val="center"/>
            </w:pPr>
            <w:r>
              <w:rPr>
                <w:color w:val="000000"/>
                <w:sz w:val="24"/>
                <w:szCs w:val="24"/>
              </w:rPr>
              <w:t>600529</w:t>
            </w:r>
          </w:p>
        </w:tc>
        <w:tc>
          <w:tcPr>
            <w:tcW w:w="1777" w:type="dxa"/>
            <w:vAlign w:val="center"/>
          </w:tcPr>
          <w:p w:rsidR="009B09C9" w:rsidRDefault="002B60B2">
            <w:pPr>
              <w:jc w:val="center"/>
            </w:pPr>
            <w:r>
              <w:rPr>
                <w:color w:val="000000"/>
                <w:sz w:val="24"/>
                <w:szCs w:val="24"/>
              </w:rPr>
              <w:t>山东药玻</w:t>
            </w:r>
          </w:p>
        </w:tc>
        <w:tc>
          <w:tcPr>
            <w:tcW w:w="1334" w:type="dxa"/>
            <w:vAlign w:val="center"/>
          </w:tcPr>
          <w:p w:rsidR="009B09C9" w:rsidRDefault="002B60B2">
            <w:pPr>
              <w:jc w:val="right"/>
            </w:pPr>
            <w:r>
              <w:rPr>
                <w:color w:val="000000"/>
                <w:sz w:val="24"/>
                <w:szCs w:val="24"/>
              </w:rPr>
              <w:t>1,025,668</w:t>
            </w:r>
          </w:p>
        </w:tc>
        <w:tc>
          <w:tcPr>
            <w:tcW w:w="1924" w:type="dxa"/>
            <w:vAlign w:val="center"/>
          </w:tcPr>
          <w:p w:rsidR="009B09C9" w:rsidRDefault="002B60B2">
            <w:pPr>
              <w:jc w:val="right"/>
            </w:pPr>
            <w:r>
              <w:rPr>
                <w:color w:val="000000"/>
                <w:sz w:val="24"/>
                <w:szCs w:val="24"/>
              </w:rPr>
              <w:t>23,918,577.76</w:t>
            </w:r>
          </w:p>
        </w:tc>
        <w:tc>
          <w:tcPr>
            <w:tcW w:w="1644" w:type="dxa"/>
            <w:vAlign w:val="center"/>
          </w:tcPr>
          <w:p w:rsidR="009B09C9" w:rsidRDefault="002B60B2">
            <w:pPr>
              <w:jc w:val="right"/>
            </w:pPr>
            <w:r>
              <w:rPr>
                <w:color w:val="000000"/>
                <w:sz w:val="24"/>
                <w:szCs w:val="24"/>
              </w:rPr>
              <w:t>3.04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548,898.41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8,218,441.11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31,232.08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133,156.49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8,931,728.09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984,839,380.28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17,683,688.08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303,575,319.62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698,947,748.74</w:t>
            </w:r>
          </w:p>
        </w:tc>
      </w:tr>
    </w:tbl>
    <w:p w:rsidR="009B09C9" w:rsidRDefault="002B60B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lastRenderedPageBreak/>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9B09C9">
        <w:tc>
          <w:tcPr>
            <w:tcW w:w="993" w:type="dxa"/>
            <w:vMerge w:val="restart"/>
          </w:tcPr>
          <w:p w:rsidR="009B09C9" w:rsidRDefault="009B09C9"/>
          <w:p w:rsidR="009B09C9" w:rsidRDefault="002B60B2">
            <w:r>
              <w:rPr>
                <w:rFonts w:ascii="宋体" w:hAnsi="宋体" w:hint="eastAsia"/>
                <w:bCs/>
                <w:color w:val="000000"/>
                <w:kern w:val="0"/>
              </w:rPr>
              <w:t>机构</w:t>
            </w:r>
          </w:p>
        </w:tc>
        <w:tc>
          <w:tcPr>
            <w:tcW w:w="992" w:type="dxa"/>
            <w:vAlign w:val="center"/>
          </w:tcPr>
          <w:p w:rsidR="009B09C9" w:rsidRDefault="002B60B2">
            <w:pPr>
              <w:jc w:val="center"/>
            </w:pPr>
            <w:r>
              <w:rPr>
                <w:rFonts w:ascii="宋体" w:hAnsi="宋体"/>
                <w:color w:val="000000"/>
                <w:kern w:val="0"/>
              </w:rPr>
              <w:t>1</w:t>
            </w:r>
          </w:p>
        </w:tc>
        <w:tc>
          <w:tcPr>
            <w:tcW w:w="1843" w:type="dxa"/>
            <w:vAlign w:val="center"/>
          </w:tcPr>
          <w:p w:rsidR="009B09C9" w:rsidRDefault="002B60B2">
            <w:pPr>
              <w:jc w:val="center"/>
            </w:pPr>
            <w:r>
              <w:rPr>
                <w:rFonts w:ascii="宋体" w:hAnsi="宋体"/>
                <w:color w:val="000000"/>
                <w:kern w:val="0"/>
              </w:rPr>
              <w:t>2019/7/1-2019/9/30</w:t>
            </w:r>
          </w:p>
        </w:tc>
        <w:tc>
          <w:tcPr>
            <w:tcW w:w="851" w:type="dxa"/>
            <w:vAlign w:val="center"/>
          </w:tcPr>
          <w:p w:rsidR="009B09C9" w:rsidRDefault="002B60B2">
            <w:pPr>
              <w:jc w:val="center"/>
            </w:pPr>
            <w:r>
              <w:rPr>
                <w:rFonts w:ascii="宋体" w:hAnsi="宋体"/>
                <w:color w:val="000000"/>
                <w:kern w:val="0"/>
              </w:rPr>
              <w:t>165,683,849.95</w:t>
            </w:r>
          </w:p>
        </w:tc>
        <w:tc>
          <w:tcPr>
            <w:tcW w:w="850" w:type="dxa"/>
            <w:vAlign w:val="center"/>
          </w:tcPr>
          <w:p w:rsidR="009B09C9" w:rsidRDefault="002B60B2">
            <w:pPr>
              <w:jc w:val="center"/>
            </w:pPr>
            <w:r>
              <w:rPr>
                <w:rFonts w:ascii="宋体" w:hAnsi="宋体"/>
                <w:color w:val="000000"/>
                <w:kern w:val="0"/>
              </w:rPr>
              <w:t>-</w:t>
            </w:r>
          </w:p>
        </w:tc>
        <w:tc>
          <w:tcPr>
            <w:tcW w:w="1134" w:type="dxa"/>
            <w:vAlign w:val="center"/>
          </w:tcPr>
          <w:p w:rsidR="009B09C9" w:rsidRDefault="002B60B2">
            <w:pPr>
              <w:jc w:val="center"/>
            </w:pPr>
            <w:r>
              <w:rPr>
                <w:rFonts w:ascii="宋体" w:hAnsi="宋体"/>
                <w:color w:val="000000"/>
                <w:kern w:val="0"/>
              </w:rPr>
              <w:t>-</w:t>
            </w:r>
          </w:p>
        </w:tc>
        <w:tc>
          <w:tcPr>
            <w:tcW w:w="1419" w:type="dxa"/>
            <w:vAlign w:val="center"/>
          </w:tcPr>
          <w:p w:rsidR="009B09C9" w:rsidRDefault="002B60B2">
            <w:pPr>
              <w:jc w:val="center"/>
            </w:pPr>
            <w:r>
              <w:rPr>
                <w:rFonts w:ascii="宋体" w:hAnsi="宋体"/>
                <w:color w:val="000000"/>
                <w:kern w:val="0"/>
              </w:rPr>
              <w:t>165,683,849.95</w:t>
            </w:r>
          </w:p>
        </w:tc>
        <w:tc>
          <w:tcPr>
            <w:tcW w:w="1130" w:type="dxa"/>
            <w:vAlign w:val="center"/>
          </w:tcPr>
          <w:p w:rsidR="009B09C9" w:rsidRDefault="002B60B2">
            <w:pPr>
              <w:jc w:val="center"/>
            </w:pPr>
            <w:r>
              <w:rPr>
                <w:rFonts w:ascii="宋体" w:hAnsi="宋体"/>
                <w:color w:val="000000"/>
                <w:kern w:val="0"/>
              </w:rPr>
              <w:t>23.70%</w:t>
            </w:r>
          </w:p>
        </w:tc>
      </w:tr>
      <w:tr w:rsidR="009B09C9">
        <w:tc>
          <w:tcPr>
            <w:tcW w:w="993" w:type="dxa"/>
            <w:vMerge/>
          </w:tcPr>
          <w:p w:rsidR="009B09C9" w:rsidRDefault="009B09C9"/>
        </w:tc>
        <w:tc>
          <w:tcPr>
            <w:tcW w:w="992" w:type="dxa"/>
            <w:vAlign w:val="center"/>
          </w:tcPr>
          <w:p w:rsidR="009B09C9" w:rsidRDefault="002B60B2">
            <w:pPr>
              <w:jc w:val="center"/>
            </w:pPr>
            <w:r>
              <w:rPr>
                <w:rFonts w:ascii="宋体" w:hAnsi="宋体"/>
                <w:color w:val="000000"/>
                <w:kern w:val="0"/>
              </w:rPr>
              <w:t>2</w:t>
            </w:r>
          </w:p>
        </w:tc>
        <w:tc>
          <w:tcPr>
            <w:tcW w:w="1843" w:type="dxa"/>
            <w:vAlign w:val="center"/>
          </w:tcPr>
          <w:p w:rsidR="009B09C9" w:rsidRDefault="002B60B2">
            <w:pPr>
              <w:jc w:val="center"/>
            </w:pPr>
            <w:r>
              <w:rPr>
                <w:rFonts w:ascii="宋体" w:hAnsi="宋体"/>
                <w:color w:val="000000"/>
                <w:kern w:val="0"/>
              </w:rPr>
              <w:t>2019/7/1-2019/9/30</w:t>
            </w:r>
          </w:p>
        </w:tc>
        <w:tc>
          <w:tcPr>
            <w:tcW w:w="851" w:type="dxa"/>
            <w:vAlign w:val="center"/>
          </w:tcPr>
          <w:p w:rsidR="009B09C9" w:rsidRDefault="002B60B2">
            <w:pPr>
              <w:jc w:val="center"/>
            </w:pPr>
            <w:r>
              <w:rPr>
                <w:rFonts w:ascii="宋体" w:hAnsi="宋体"/>
                <w:color w:val="000000"/>
                <w:kern w:val="0"/>
              </w:rPr>
              <w:t>183,557,147.72</w:t>
            </w:r>
          </w:p>
        </w:tc>
        <w:tc>
          <w:tcPr>
            <w:tcW w:w="850" w:type="dxa"/>
            <w:vAlign w:val="center"/>
          </w:tcPr>
          <w:p w:rsidR="009B09C9" w:rsidRDefault="002B60B2">
            <w:pPr>
              <w:jc w:val="center"/>
            </w:pPr>
            <w:r>
              <w:rPr>
                <w:rFonts w:ascii="宋体" w:hAnsi="宋体"/>
                <w:color w:val="000000"/>
                <w:kern w:val="0"/>
              </w:rPr>
              <w:t>-</w:t>
            </w:r>
          </w:p>
        </w:tc>
        <w:tc>
          <w:tcPr>
            <w:tcW w:w="1134" w:type="dxa"/>
            <w:vAlign w:val="center"/>
          </w:tcPr>
          <w:p w:rsidR="009B09C9" w:rsidRDefault="002B60B2">
            <w:pPr>
              <w:jc w:val="center"/>
            </w:pPr>
            <w:r>
              <w:rPr>
                <w:rFonts w:ascii="宋体" w:hAnsi="宋体"/>
                <w:color w:val="000000"/>
                <w:kern w:val="0"/>
              </w:rPr>
              <w:t>-</w:t>
            </w:r>
          </w:p>
        </w:tc>
        <w:tc>
          <w:tcPr>
            <w:tcW w:w="1419" w:type="dxa"/>
            <w:vAlign w:val="center"/>
          </w:tcPr>
          <w:p w:rsidR="009B09C9" w:rsidRDefault="002B60B2">
            <w:pPr>
              <w:jc w:val="center"/>
            </w:pPr>
            <w:r>
              <w:rPr>
                <w:rFonts w:ascii="宋体" w:hAnsi="宋体"/>
                <w:color w:val="000000"/>
                <w:kern w:val="0"/>
              </w:rPr>
              <w:t>183,557,147.72</w:t>
            </w:r>
          </w:p>
        </w:tc>
        <w:tc>
          <w:tcPr>
            <w:tcW w:w="1130" w:type="dxa"/>
            <w:vAlign w:val="center"/>
          </w:tcPr>
          <w:p w:rsidR="009B09C9" w:rsidRDefault="002B60B2">
            <w:pPr>
              <w:jc w:val="center"/>
            </w:pPr>
            <w:r>
              <w:rPr>
                <w:rFonts w:ascii="宋体" w:hAnsi="宋体"/>
                <w:color w:val="000000"/>
                <w:kern w:val="0"/>
              </w:rPr>
              <w:t>26.26%</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9B09C9" w:rsidRDefault="002B60B2">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、中国证监会批准交银施罗德荣安保本混合型证券投资基金募集的文件；</w:t>
      </w:r>
    </w:p>
    <w:p w:rsidR="009B09C9" w:rsidRDefault="002B60B2">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、《交银施罗德策略回报灵活配置混合型证券投资基金基金合同》；</w:t>
      </w:r>
    </w:p>
    <w:p w:rsidR="009B09C9" w:rsidRDefault="002B60B2">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、《交银施罗德策略回报灵活配置混合型证券投资基金招募说明书》；</w:t>
      </w:r>
    </w:p>
    <w:p w:rsidR="009B09C9" w:rsidRDefault="002B60B2">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、《交银施罗德策略回报灵活配置混合型证券投资基金托管协议》；</w:t>
      </w:r>
    </w:p>
    <w:p w:rsidR="009B09C9" w:rsidRDefault="002B60B2">
      <w:pPr>
        <w:spacing w:before="29" w:line="288" w:lineRule="auto"/>
        <w:ind w:firstLineChars="200" w:firstLine="480"/>
        <w:rPr>
          <w:color w:val="000000"/>
          <w:sz w:val="24"/>
          <w:szCs w:val="24"/>
        </w:rPr>
      </w:pPr>
      <w:r>
        <w:rPr>
          <w:color w:val="000000"/>
          <w:sz w:val="24"/>
          <w:szCs w:val="24"/>
        </w:rPr>
        <w:t>5</w:t>
      </w:r>
      <w:r>
        <w:rPr>
          <w:color w:val="000000"/>
          <w:sz w:val="24"/>
          <w:szCs w:val="24"/>
        </w:rPr>
        <w:t>、《交银施罗德荣安保本混合型证券投资基金基金合同》；</w:t>
      </w:r>
    </w:p>
    <w:p w:rsidR="009B09C9" w:rsidRDefault="002B60B2">
      <w:pPr>
        <w:spacing w:before="29" w:line="288" w:lineRule="auto"/>
        <w:ind w:firstLineChars="200" w:firstLine="480"/>
        <w:rPr>
          <w:color w:val="000000"/>
          <w:sz w:val="24"/>
          <w:szCs w:val="24"/>
        </w:rPr>
      </w:pPr>
      <w:r>
        <w:rPr>
          <w:color w:val="000000"/>
          <w:sz w:val="24"/>
          <w:szCs w:val="24"/>
        </w:rPr>
        <w:t>6</w:t>
      </w:r>
      <w:r>
        <w:rPr>
          <w:color w:val="000000"/>
          <w:sz w:val="24"/>
          <w:szCs w:val="24"/>
        </w:rPr>
        <w:t>、《交银施罗德荣安保本混合型证券投资基金招募说明书》；</w:t>
      </w:r>
    </w:p>
    <w:p w:rsidR="009B09C9" w:rsidRDefault="002B60B2">
      <w:pPr>
        <w:spacing w:before="29" w:line="288" w:lineRule="auto"/>
        <w:ind w:firstLineChars="200" w:firstLine="480"/>
        <w:rPr>
          <w:color w:val="000000"/>
          <w:sz w:val="24"/>
          <w:szCs w:val="24"/>
        </w:rPr>
      </w:pPr>
      <w:r>
        <w:rPr>
          <w:color w:val="000000"/>
          <w:sz w:val="24"/>
          <w:szCs w:val="24"/>
        </w:rPr>
        <w:t>7</w:t>
      </w:r>
      <w:r>
        <w:rPr>
          <w:color w:val="000000"/>
          <w:sz w:val="24"/>
          <w:szCs w:val="24"/>
        </w:rPr>
        <w:t>、《交银施罗德荣安保本混合型证券投资基金托管协议》；</w:t>
      </w:r>
    </w:p>
    <w:p w:rsidR="009B09C9" w:rsidRDefault="002B60B2">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、《交银施罗德荣安保本混合型证券投资基金保证合同》；</w:t>
      </w:r>
      <w:r>
        <w:rPr>
          <w:color w:val="000000"/>
          <w:sz w:val="24"/>
          <w:szCs w:val="24"/>
        </w:rPr>
        <w:t xml:space="preserve"> </w:t>
      </w:r>
    </w:p>
    <w:p w:rsidR="009B09C9" w:rsidRDefault="002B60B2">
      <w:pPr>
        <w:spacing w:before="29" w:line="288" w:lineRule="auto"/>
        <w:ind w:firstLineChars="200" w:firstLine="480"/>
        <w:rPr>
          <w:color w:val="000000"/>
          <w:sz w:val="24"/>
          <w:szCs w:val="24"/>
        </w:rPr>
      </w:pPr>
      <w:r>
        <w:rPr>
          <w:color w:val="000000"/>
          <w:sz w:val="24"/>
          <w:szCs w:val="24"/>
        </w:rPr>
        <w:t>9</w:t>
      </w:r>
      <w:r>
        <w:rPr>
          <w:color w:val="000000"/>
          <w:sz w:val="24"/>
          <w:szCs w:val="24"/>
        </w:rPr>
        <w:t>、基金管理人业务资格批件、营业执照；</w:t>
      </w:r>
    </w:p>
    <w:p w:rsidR="009B09C9" w:rsidRDefault="002B60B2">
      <w:pPr>
        <w:spacing w:before="29" w:line="288" w:lineRule="auto"/>
        <w:ind w:firstLineChars="200" w:firstLine="480"/>
        <w:rPr>
          <w:color w:val="000000"/>
          <w:sz w:val="24"/>
          <w:szCs w:val="24"/>
        </w:rPr>
      </w:pPr>
      <w:r>
        <w:rPr>
          <w:color w:val="000000"/>
          <w:sz w:val="24"/>
          <w:szCs w:val="24"/>
        </w:rPr>
        <w:t>10</w:t>
      </w:r>
      <w:r>
        <w:rPr>
          <w:color w:val="000000"/>
          <w:sz w:val="24"/>
          <w:szCs w:val="24"/>
        </w:rPr>
        <w:t>、基金托管人业务资格批件、营业执照；</w:t>
      </w:r>
    </w:p>
    <w:p w:rsidR="009B09C9" w:rsidRDefault="002B60B2">
      <w:pPr>
        <w:spacing w:before="29" w:line="288" w:lineRule="auto"/>
        <w:ind w:firstLineChars="200" w:firstLine="480"/>
        <w:rPr>
          <w:color w:val="000000"/>
          <w:sz w:val="24"/>
          <w:szCs w:val="24"/>
        </w:rPr>
      </w:pPr>
      <w:r>
        <w:rPr>
          <w:color w:val="000000"/>
          <w:sz w:val="24"/>
          <w:szCs w:val="24"/>
        </w:rPr>
        <w:t>11</w:t>
      </w:r>
      <w:r>
        <w:rPr>
          <w:color w:val="000000"/>
          <w:sz w:val="24"/>
          <w:szCs w:val="24"/>
        </w:rPr>
        <w:t>、关</w:t>
      </w:r>
      <w:r>
        <w:rPr>
          <w:color w:val="000000"/>
          <w:sz w:val="24"/>
          <w:szCs w:val="24"/>
        </w:rPr>
        <w:t>于申请募集交银施罗德荣安保本混合型证券投资基金之法律意见书；</w:t>
      </w:r>
    </w:p>
    <w:p w:rsidR="009B09C9" w:rsidRDefault="002B60B2">
      <w:pPr>
        <w:spacing w:before="29" w:line="288" w:lineRule="auto"/>
        <w:ind w:firstLineChars="200" w:firstLine="480"/>
        <w:rPr>
          <w:color w:val="000000"/>
          <w:sz w:val="24"/>
          <w:szCs w:val="24"/>
        </w:rPr>
      </w:pPr>
      <w:r>
        <w:rPr>
          <w:color w:val="000000"/>
          <w:sz w:val="24"/>
          <w:szCs w:val="24"/>
        </w:rPr>
        <w:t>12</w:t>
      </w:r>
      <w:r>
        <w:rPr>
          <w:color w:val="000000"/>
          <w:sz w:val="24"/>
          <w:szCs w:val="24"/>
        </w:rPr>
        <w:t>、关于修改《交银施罗德荣安保本混合型证券投资基金基金合同》的法律意见；</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13</w:t>
      </w:r>
      <w:r w:rsidRPr="00414345">
        <w:rPr>
          <w:color w:val="000000"/>
          <w:sz w:val="24"/>
          <w:szCs w:val="24"/>
        </w:rPr>
        <w:t>、报告期内交银施罗德策略回报灵活配置混合型证券投资基金在指定报刊上各项公告的原稿。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9B09C9" w:rsidRDefault="002B60B2">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0B2" w:rsidRDefault="002B60B2" w:rsidP="00876D65">
      <w:r>
        <w:separator/>
      </w:r>
    </w:p>
  </w:endnote>
  <w:endnote w:type="continuationSeparator" w:id="0">
    <w:p w:rsidR="002B60B2" w:rsidRDefault="002B60B2"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2F6D4F">
      <w:rPr>
        <w:noProof/>
        <w:kern w:val="0"/>
        <w:szCs w:val="21"/>
      </w:rPr>
      <w:t>6</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2F6D4F">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0B2" w:rsidRDefault="002B60B2" w:rsidP="00876D65">
      <w:r>
        <w:separator/>
      </w:r>
    </w:p>
  </w:footnote>
  <w:footnote w:type="continuationSeparator" w:id="0">
    <w:p w:rsidR="002B60B2" w:rsidRDefault="002B60B2"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交银施罗德策略回报灵活配置混合型证券投资基金</w:t>
    </w:r>
    <w:r w:rsidRPr="003E676C">
      <w:rPr>
        <w:sz w:val="24"/>
        <w:szCs w:val="24"/>
      </w:rPr>
      <w:t>2019</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B60B2"/>
    <w:rsid w:val="002C2834"/>
    <w:rsid w:val="002C3C7A"/>
    <w:rsid w:val="002C5F95"/>
    <w:rsid w:val="002C657A"/>
    <w:rsid w:val="002D48DF"/>
    <w:rsid w:val="002D6872"/>
    <w:rsid w:val="002D6FB6"/>
    <w:rsid w:val="002E3B09"/>
    <w:rsid w:val="002E52B3"/>
    <w:rsid w:val="002F6D4F"/>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09C9"/>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3F531-F2EC-4048-8AC2-CDD7E97CB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1827</TotalTime>
  <Pages>12</Pages>
  <Words>1053</Words>
  <Characters>6003</Characters>
  <Application>Microsoft Office Word</Application>
  <DocSecurity>0</DocSecurity>
  <Lines>50</Lines>
  <Paragraphs>14</Paragraphs>
  <ScaleCrop>false</ScaleCrop>
  <Company/>
  <LinksUpToDate>false</LinksUpToDate>
  <CharactersWithSpaces>7042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598</cp:revision>
  <dcterms:created xsi:type="dcterms:W3CDTF">2012-10-16T06:07:00Z</dcterms:created>
  <dcterms:modified xsi:type="dcterms:W3CDTF">2019-10-18T03:28:00Z</dcterms:modified>
</cp:coreProperties>
</file>