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交银施罗德趋势优先混合型证券投资基金</w:t>
      </w:r>
    </w:p>
    <w:p w:rsidR="002279D3" w:rsidRPr="0081286B" w:rsidRDefault="002279D3" w:rsidP="00C15CAC">
      <w:pPr>
        <w:spacing w:before="29" w:line="288" w:lineRule="auto"/>
        <w:jc w:val="center"/>
        <w:rPr>
          <w:b/>
          <w:sz w:val="36"/>
          <w:szCs w:val="36"/>
        </w:rPr>
      </w:pPr>
      <w:r w:rsidRPr="0081286B">
        <w:rPr>
          <w:b/>
          <w:sz w:val="36"/>
          <w:szCs w:val="36"/>
        </w:rPr>
        <w:t>2019</w:t>
      </w:r>
      <w:r w:rsidRPr="0081286B">
        <w:rPr>
          <w:b/>
          <w:sz w:val="36"/>
          <w:szCs w:val="36"/>
        </w:rPr>
        <w:t>年第</w:t>
      </w:r>
      <w:r w:rsidRPr="0081286B">
        <w:rPr>
          <w:b/>
          <w:sz w:val="36"/>
          <w:szCs w:val="36"/>
        </w:rPr>
        <w:t>3</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2019</w:t>
      </w:r>
      <w:r w:rsidRPr="0081286B">
        <w:rPr>
          <w:b/>
          <w:sz w:val="36"/>
          <w:szCs w:val="36"/>
        </w:rPr>
        <w:t>年</w:t>
      </w:r>
      <w:r w:rsidRPr="0081286B">
        <w:rPr>
          <w:b/>
          <w:sz w:val="36"/>
          <w:szCs w:val="36"/>
        </w:rPr>
        <w:t>9</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基金托管人：中国工商银行股份有限公司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二〇一九年十月二十二日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F646C0" w:rsidRDefault="006A3247">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F646C0" w:rsidRDefault="006A3247">
      <w:pPr>
        <w:spacing w:before="29" w:line="288"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21</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F646C0" w:rsidRDefault="006A3247">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F646C0" w:rsidRDefault="006A3247">
      <w:pPr>
        <w:spacing w:before="29" w:line="288" w:lineRule="auto"/>
        <w:ind w:firstLineChars="200" w:firstLine="480"/>
        <w:rPr>
          <w:color w:val="000000"/>
          <w:sz w:val="24"/>
          <w:szCs w:val="24"/>
        </w:rPr>
      </w:pPr>
      <w:r>
        <w:rPr>
          <w:color w:val="000000"/>
          <w:sz w:val="24"/>
          <w:szCs w:val="24"/>
        </w:rPr>
        <w:t>基金的过往业绩并不代表其未来表现。投资有</w:t>
      </w:r>
      <w:r>
        <w:rPr>
          <w:color w:val="000000"/>
          <w:sz w:val="24"/>
          <w:szCs w:val="24"/>
        </w:rPr>
        <w:t>风险，投资者在作出投资决策前应仔细阅读本基金的招募说明书。</w:t>
      </w:r>
      <w:r>
        <w:rPr>
          <w:color w:val="000000"/>
          <w:sz w:val="24"/>
          <w:szCs w:val="24"/>
        </w:rPr>
        <w:t xml:space="preserve"> </w:t>
      </w:r>
    </w:p>
    <w:p w:rsidR="00F646C0" w:rsidRDefault="006A3247">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2019</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交银趋势混合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519702</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519702</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519703</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2010</w:t>
            </w:r>
            <w:r w:rsidRPr="00414345">
              <w:rPr>
                <w:color w:val="000000"/>
                <w:kern w:val="0"/>
                <w:sz w:val="24"/>
                <w:szCs w:val="24"/>
              </w:rPr>
              <w:t>年</w:t>
            </w:r>
            <w:r w:rsidRPr="00414345">
              <w:rPr>
                <w:color w:val="000000"/>
                <w:kern w:val="0"/>
                <w:sz w:val="24"/>
                <w:szCs w:val="24"/>
              </w:rPr>
              <w:t>12</w:t>
            </w:r>
            <w:r w:rsidRPr="00414345">
              <w:rPr>
                <w:color w:val="000000"/>
                <w:kern w:val="0"/>
                <w:sz w:val="24"/>
                <w:szCs w:val="24"/>
              </w:rPr>
              <w:t>月</w:t>
            </w:r>
            <w:r w:rsidRPr="00414345">
              <w:rPr>
                <w:color w:val="000000"/>
                <w:kern w:val="0"/>
                <w:sz w:val="24"/>
                <w:szCs w:val="24"/>
              </w:rPr>
              <w:t>22</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213,353,252.02</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本基金力图通过把握中国人口变化的重大趋势，精选受益其中的优势行业和个股，在控制风险并保持基金资产良好的流动性的前提下，力争实现基金资产的长期稳定增值。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将严谨、规范化的选股方法与积极主动的投资风格相结合，在分析和判断未来人口趋势的重大转变对国民消费倾向、国家收入分配政策、产业升级和区域发展方向等战略决策的重要影响以及其中所蕴涵的行业投资机会的基础上，挖掘受益其中的优势行业，精选个股，以谋求超额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w:t>
            </w: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+25%×</w:t>
            </w:r>
            <w:r w:rsidRPr="00414345">
              <w:rPr>
                <w:color w:val="000000"/>
                <w:kern w:val="0"/>
                <w:sz w:val="24"/>
                <w:szCs w:val="24"/>
              </w:rPr>
              <w:t>中证综合债券指数收</w:t>
            </w:r>
            <w:r w:rsidRPr="00414345">
              <w:rPr>
                <w:color w:val="000000"/>
                <w:kern w:val="0"/>
                <w:sz w:val="24"/>
                <w:szCs w:val="24"/>
              </w:rPr>
              <w:lastRenderedPageBreak/>
              <w:t>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中国工商银行股份有限公司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EC0933" w:rsidRPr="00414345" w:rsidTr="00EC0933">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(2019</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-2019</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EC0933" w:rsidRPr="00414345" w:rsidTr="00EC093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29,170,178.61</w:t>
            </w:r>
          </w:p>
        </w:tc>
      </w:tr>
      <w:tr w:rsidR="00EC0933" w:rsidRPr="00414345" w:rsidTr="00EC093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18,872,607.18</w:t>
            </w:r>
          </w:p>
        </w:tc>
      </w:tr>
      <w:tr w:rsidR="00EC0933" w:rsidRPr="00414345" w:rsidTr="00EC093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0.0927</w:t>
            </w:r>
          </w:p>
        </w:tc>
      </w:tr>
      <w:tr w:rsidR="00EC0933" w:rsidRPr="00414345" w:rsidTr="00EC093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337,230,068.61</w:t>
            </w:r>
          </w:p>
        </w:tc>
      </w:tr>
      <w:tr w:rsidR="00EC0933" w:rsidRPr="00414345" w:rsidTr="00EC0933">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1.581</w:t>
            </w:r>
          </w:p>
        </w:tc>
      </w:tr>
    </w:tbl>
    <w:p w:rsidR="00F646C0" w:rsidRDefault="006A3247">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F646C0">
        <w:trPr>
          <w:jc w:val="center"/>
        </w:trPr>
        <w:tc>
          <w:tcPr>
            <w:tcW w:w="1701" w:type="dxa"/>
            <w:vAlign w:val="center"/>
          </w:tcPr>
          <w:p w:rsidR="00F646C0" w:rsidRDefault="006A3247">
            <w:pPr>
              <w:jc w:val="left"/>
            </w:pPr>
            <w:r>
              <w:rPr>
                <w:color w:val="000000"/>
                <w:sz w:val="24"/>
                <w:szCs w:val="24"/>
              </w:rPr>
              <w:t>过去三个月</w:t>
            </w:r>
          </w:p>
        </w:tc>
        <w:tc>
          <w:tcPr>
            <w:tcW w:w="1045" w:type="dxa"/>
            <w:vAlign w:val="center"/>
          </w:tcPr>
          <w:p w:rsidR="00F646C0" w:rsidRDefault="006A3247">
            <w:pPr>
              <w:jc w:val="center"/>
            </w:pPr>
            <w:r>
              <w:rPr>
                <w:color w:val="000000"/>
                <w:sz w:val="24"/>
                <w:szCs w:val="24"/>
              </w:rPr>
              <w:t>5.40%</w:t>
            </w:r>
          </w:p>
        </w:tc>
        <w:tc>
          <w:tcPr>
            <w:tcW w:w="1344" w:type="dxa"/>
            <w:vAlign w:val="center"/>
          </w:tcPr>
          <w:p w:rsidR="00F646C0" w:rsidRDefault="006A3247">
            <w:pPr>
              <w:jc w:val="center"/>
            </w:pPr>
            <w:r>
              <w:rPr>
                <w:color w:val="000000"/>
                <w:sz w:val="24"/>
                <w:szCs w:val="24"/>
              </w:rPr>
              <w:t>1.31%</w:t>
            </w:r>
          </w:p>
        </w:tc>
        <w:tc>
          <w:tcPr>
            <w:tcW w:w="1194" w:type="dxa"/>
            <w:vAlign w:val="center"/>
          </w:tcPr>
          <w:p w:rsidR="00F646C0" w:rsidRDefault="006A3247">
            <w:pPr>
              <w:jc w:val="center"/>
            </w:pPr>
            <w:r>
              <w:rPr>
                <w:color w:val="000000"/>
                <w:sz w:val="24"/>
                <w:szCs w:val="24"/>
              </w:rPr>
              <w:t>0.18%</w:t>
            </w:r>
          </w:p>
        </w:tc>
        <w:tc>
          <w:tcPr>
            <w:tcW w:w="1492" w:type="dxa"/>
            <w:vAlign w:val="center"/>
          </w:tcPr>
          <w:p w:rsidR="00F646C0" w:rsidRDefault="006A3247">
            <w:pPr>
              <w:jc w:val="center"/>
            </w:pPr>
            <w:r>
              <w:rPr>
                <w:color w:val="000000"/>
                <w:sz w:val="24"/>
                <w:szCs w:val="24"/>
              </w:rPr>
              <w:t>0.72%</w:t>
            </w:r>
          </w:p>
        </w:tc>
        <w:tc>
          <w:tcPr>
            <w:tcW w:w="1194" w:type="dxa"/>
            <w:vAlign w:val="center"/>
          </w:tcPr>
          <w:p w:rsidR="00F646C0" w:rsidRDefault="006A3247">
            <w:pPr>
              <w:jc w:val="center"/>
            </w:pPr>
            <w:r>
              <w:rPr>
                <w:color w:val="000000"/>
                <w:sz w:val="24"/>
                <w:szCs w:val="24"/>
              </w:rPr>
              <w:t>5.22%</w:t>
            </w:r>
          </w:p>
        </w:tc>
        <w:tc>
          <w:tcPr>
            <w:tcW w:w="898" w:type="dxa"/>
            <w:vAlign w:val="center"/>
          </w:tcPr>
          <w:p w:rsidR="00F646C0" w:rsidRDefault="006A3247">
            <w:pPr>
              <w:jc w:val="center"/>
            </w:pPr>
            <w:r>
              <w:rPr>
                <w:color w:val="000000"/>
                <w:sz w:val="24"/>
                <w:szCs w:val="24"/>
              </w:rPr>
              <w:t>0.59%</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“75%×</w:t>
      </w:r>
      <w:r w:rsidRPr="00414345">
        <w:rPr>
          <w:color w:val="000000"/>
          <w:sz w:val="24"/>
          <w:szCs w:val="24"/>
        </w:rPr>
        <w:t>沪深</w:t>
      </w:r>
      <w:r w:rsidRPr="00414345">
        <w:rPr>
          <w:color w:val="000000"/>
          <w:sz w:val="24"/>
          <w:szCs w:val="24"/>
        </w:rPr>
        <w:t>300</w:t>
      </w:r>
      <w:r w:rsidRPr="00414345">
        <w:rPr>
          <w:color w:val="000000"/>
          <w:sz w:val="24"/>
          <w:szCs w:val="24"/>
        </w:rPr>
        <w:t>指数收益率</w:t>
      </w:r>
      <w:r w:rsidRPr="00414345">
        <w:rPr>
          <w:color w:val="000000"/>
          <w:sz w:val="24"/>
          <w:szCs w:val="24"/>
        </w:rPr>
        <w:t>+25%×</w:t>
      </w:r>
      <w:r w:rsidRPr="00414345">
        <w:rPr>
          <w:color w:val="000000"/>
          <w:sz w:val="24"/>
          <w:szCs w:val="24"/>
        </w:rPr>
        <w:t>中信标普全债指数收益率</w:t>
      </w:r>
      <w:r w:rsidRPr="00414345">
        <w:rPr>
          <w:color w:val="000000"/>
          <w:sz w:val="24"/>
          <w:szCs w:val="24"/>
        </w:rPr>
        <w:t>”</w:t>
      </w:r>
      <w:r w:rsidRPr="00414345">
        <w:rPr>
          <w:color w:val="000000"/>
          <w:sz w:val="24"/>
          <w:szCs w:val="24"/>
        </w:rPr>
        <w:t>变更为</w:t>
      </w:r>
      <w:r w:rsidRPr="00414345">
        <w:rPr>
          <w:color w:val="000000"/>
          <w:sz w:val="24"/>
          <w:szCs w:val="24"/>
        </w:rPr>
        <w:t>“75%×</w:t>
      </w:r>
      <w:r w:rsidRPr="00414345">
        <w:rPr>
          <w:color w:val="000000"/>
          <w:sz w:val="24"/>
          <w:szCs w:val="24"/>
        </w:rPr>
        <w:t>沪深</w:t>
      </w:r>
      <w:r w:rsidRPr="00414345">
        <w:rPr>
          <w:color w:val="000000"/>
          <w:sz w:val="24"/>
          <w:szCs w:val="24"/>
        </w:rPr>
        <w:t>300</w:t>
      </w:r>
      <w:r w:rsidRPr="00414345">
        <w:rPr>
          <w:color w:val="000000"/>
          <w:sz w:val="24"/>
          <w:szCs w:val="24"/>
        </w:rPr>
        <w:t>指数收益率</w:t>
      </w:r>
      <w:r w:rsidRPr="00414345">
        <w:rPr>
          <w:color w:val="000000"/>
          <w:sz w:val="24"/>
          <w:szCs w:val="24"/>
        </w:rPr>
        <w:t>+25%×</w:t>
      </w:r>
      <w:r w:rsidRPr="00414345">
        <w:rPr>
          <w:color w:val="000000"/>
          <w:sz w:val="24"/>
          <w:szCs w:val="24"/>
        </w:rPr>
        <w:t>中证综合债券指数收益率</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交银施罗德趋势优先混合型证券投资基金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2010</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12</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22</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2019</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9</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F646C0">
        <w:trPr>
          <w:jc w:val="center"/>
        </w:trPr>
        <w:tc>
          <w:tcPr>
            <w:tcW w:w="846" w:type="dxa"/>
            <w:vAlign w:val="center"/>
          </w:tcPr>
          <w:p w:rsidR="00F646C0" w:rsidRDefault="006A3247">
            <w:pPr>
              <w:jc w:val="center"/>
            </w:pPr>
            <w:r>
              <w:rPr>
                <w:color w:val="000000"/>
                <w:sz w:val="24"/>
                <w:szCs w:val="24"/>
              </w:rPr>
              <w:t>韩威俊</w:t>
            </w:r>
          </w:p>
        </w:tc>
        <w:tc>
          <w:tcPr>
            <w:tcW w:w="845" w:type="dxa"/>
            <w:vAlign w:val="center"/>
          </w:tcPr>
          <w:p w:rsidR="00F646C0" w:rsidRDefault="006A3247">
            <w:pPr>
              <w:jc w:val="center"/>
            </w:pPr>
            <w:r>
              <w:rPr>
                <w:color w:val="000000"/>
                <w:sz w:val="24"/>
                <w:szCs w:val="24"/>
              </w:rPr>
              <w:t>交银趋势混合、交银策略回报灵活配置混合、</w:t>
            </w:r>
            <w:r>
              <w:rPr>
                <w:color w:val="000000"/>
                <w:sz w:val="24"/>
                <w:szCs w:val="24"/>
              </w:rPr>
              <w:lastRenderedPageBreak/>
              <w:t>交银消费新驱动股票、交银股息优化混合、交银品质升级混合的基金经理</w:t>
            </w:r>
          </w:p>
        </w:tc>
        <w:tc>
          <w:tcPr>
            <w:tcW w:w="1549" w:type="dxa"/>
            <w:vAlign w:val="center"/>
          </w:tcPr>
          <w:p w:rsidR="00F646C0" w:rsidRDefault="006A3247">
            <w:pPr>
              <w:jc w:val="center"/>
            </w:pPr>
            <w:r>
              <w:rPr>
                <w:color w:val="000000"/>
                <w:sz w:val="24"/>
                <w:szCs w:val="24"/>
              </w:rPr>
              <w:lastRenderedPageBreak/>
              <w:t>2017-06-03</w:t>
            </w:r>
          </w:p>
        </w:tc>
        <w:tc>
          <w:tcPr>
            <w:tcW w:w="1548" w:type="dxa"/>
            <w:vAlign w:val="center"/>
          </w:tcPr>
          <w:p w:rsidR="00F646C0" w:rsidRDefault="006A3247">
            <w:pPr>
              <w:jc w:val="center"/>
            </w:pPr>
            <w:r>
              <w:rPr>
                <w:color w:val="000000"/>
                <w:sz w:val="24"/>
                <w:szCs w:val="24"/>
              </w:rPr>
              <w:t>-</w:t>
            </w:r>
          </w:p>
        </w:tc>
        <w:tc>
          <w:tcPr>
            <w:tcW w:w="1407" w:type="dxa"/>
            <w:vAlign w:val="center"/>
          </w:tcPr>
          <w:p w:rsidR="00F646C0" w:rsidRDefault="006A3247">
            <w:pPr>
              <w:jc w:val="center"/>
            </w:pPr>
            <w:r>
              <w:rPr>
                <w:color w:val="000000"/>
                <w:sz w:val="24"/>
                <w:szCs w:val="24"/>
              </w:rPr>
              <w:t>13</w:t>
            </w:r>
            <w:r>
              <w:rPr>
                <w:color w:val="000000"/>
                <w:sz w:val="24"/>
                <w:szCs w:val="24"/>
              </w:rPr>
              <w:t>年</w:t>
            </w:r>
          </w:p>
        </w:tc>
        <w:tc>
          <w:tcPr>
            <w:tcW w:w="2673" w:type="dxa"/>
            <w:vAlign w:val="center"/>
          </w:tcPr>
          <w:p w:rsidR="00F646C0" w:rsidRDefault="006A3247">
            <w:r>
              <w:rPr>
                <w:color w:val="000000"/>
                <w:sz w:val="24"/>
                <w:szCs w:val="24"/>
              </w:rPr>
              <w:t>韩威俊先生，上海财经大学金融学硕士。历任申银万国证券研究所助理分析师、北京鼎天资产管理有限公司董事助理、申银万国证券研究所行业分析师、信诚基金管理有限公司投资分析师。</w:t>
            </w:r>
            <w:r>
              <w:rPr>
                <w:color w:val="000000"/>
                <w:sz w:val="24"/>
                <w:szCs w:val="24"/>
              </w:rPr>
              <w:t>2013</w:t>
            </w:r>
            <w:r>
              <w:rPr>
                <w:color w:val="000000"/>
                <w:sz w:val="24"/>
                <w:szCs w:val="24"/>
              </w:rPr>
              <w:t>年加入交银</w:t>
            </w:r>
            <w:r>
              <w:rPr>
                <w:color w:val="000000"/>
                <w:sz w:val="24"/>
                <w:szCs w:val="24"/>
              </w:rPr>
              <w:lastRenderedPageBreak/>
              <w:t>施罗德基金管理有限公司，历任行业分析师。</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F646C0" w:rsidRDefault="006A3247">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F646C0" w:rsidRDefault="006A3247">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F646C0" w:rsidRDefault="006A3247">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w:t>
      </w:r>
      <w:r>
        <w:rPr>
          <w:color w:val="000000"/>
          <w:sz w:val="24"/>
          <w:szCs w:val="24"/>
        </w:rPr>
        <w:t>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lastRenderedPageBreak/>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F646C0" w:rsidRDefault="006A3247">
      <w:pPr>
        <w:spacing w:before="29" w:line="288" w:lineRule="auto"/>
        <w:ind w:firstLineChars="200" w:firstLine="480"/>
        <w:rPr>
          <w:color w:val="000000"/>
          <w:sz w:val="24"/>
          <w:szCs w:val="24"/>
        </w:rPr>
      </w:pPr>
      <w:r>
        <w:rPr>
          <w:color w:val="000000"/>
          <w:sz w:val="24"/>
          <w:szCs w:val="24"/>
        </w:rPr>
        <w:t>回顾</w:t>
      </w:r>
      <w:r>
        <w:rPr>
          <w:color w:val="000000"/>
          <w:sz w:val="24"/>
          <w:szCs w:val="24"/>
        </w:rPr>
        <w:t>2019</w:t>
      </w:r>
      <w:r>
        <w:rPr>
          <w:color w:val="000000"/>
          <w:sz w:val="24"/>
          <w:szCs w:val="24"/>
        </w:rPr>
        <w:t>年三季度，中美贸易战基本已告一段落，也没有出现更为严峻的趋势。利率市场化以后，整个长端利率水平开始出现下行趋势，市场风险偏好出现明显提升。</w:t>
      </w:r>
    </w:p>
    <w:p w:rsidR="00F646C0" w:rsidRDefault="006A3247">
      <w:pPr>
        <w:spacing w:before="29" w:line="288" w:lineRule="auto"/>
        <w:ind w:firstLineChars="200" w:firstLine="480"/>
        <w:rPr>
          <w:color w:val="000000"/>
          <w:sz w:val="24"/>
          <w:szCs w:val="24"/>
        </w:rPr>
      </w:pPr>
      <w:r>
        <w:rPr>
          <w:color w:val="000000"/>
          <w:sz w:val="24"/>
          <w:szCs w:val="24"/>
        </w:rPr>
        <w:t>本基金在</w:t>
      </w:r>
      <w:r>
        <w:rPr>
          <w:color w:val="000000"/>
          <w:sz w:val="24"/>
          <w:szCs w:val="24"/>
        </w:rPr>
        <w:t>2019</w:t>
      </w:r>
      <w:r>
        <w:rPr>
          <w:color w:val="000000"/>
          <w:sz w:val="24"/>
          <w:szCs w:val="24"/>
        </w:rPr>
        <w:t>年三季度基本上围绕着消费白马龙头作为底仓的配置思路，个股集中度依然维持在较高水平。重仓股做了适当的调整，减持了部分中报低于预期，三季报可能会继续下调盈利预测的个股，增持了部分商业地产公司，获得一定绝对收益，但是相对收益不明显。</w:t>
      </w:r>
    </w:p>
    <w:p w:rsidR="00F646C0" w:rsidRDefault="006A3247">
      <w:pPr>
        <w:spacing w:before="29" w:line="288" w:lineRule="auto"/>
        <w:ind w:firstLineChars="200" w:firstLine="480"/>
        <w:rPr>
          <w:color w:val="000000"/>
          <w:sz w:val="24"/>
          <w:szCs w:val="24"/>
        </w:rPr>
      </w:pPr>
      <w:r>
        <w:rPr>
          <w:color w:val="000000"/>
          <w:sz w:val="24"/>
          <w:szCs w:val="24"/>
        </w:rPr>
        <w:t>展望</w:t>
      </w:r>
      <w:r>
        <w:rPr>
          <w:color w:val="000000"/>
          <w:sz w:val="24"/>
          <w:szCs w:val="24"/>
        </w:rPr>
        <w:t>2019</w:t>
      </w:r>
      <w:r>
        <w:rPr>
          <w:color w:val="000000"/>
          <w:sz w:val="24"/>
          <w:szCs w:val="24"/>
        </w:rPr>
        <w:t>年四季度，随着长端利率进一步下行，外资配置比例提高，整个市场的流动性会继续改善，市场未来将进入稳定的上涨周期。但是，由于宏观经济放缓，各个行业的增速也出现比较明显的放缓，个股基本面分化会更加明显。预计四季度全市场基本面将逐步见底，明年会出现好转。</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w:t>
      </w:r>
      <w:r w:rsidR="00EC0933">
        <w:rPr>
          <w:rFonts w:hint="eastAsia"/>
          <w:color w:val="000000"/>
          <w:sz w:val="24"/>
          <w:szCs w:val="24"/>
        </w:rPr>
        <w:t>基金</w:t>
      </w:r>
      <w:r w:rsidRPr="00414345">
        <w:rPr>
          <w:color w:val="000000"/>
          <w:sz w:val="24"/>
          <w:szCs w:val="24"/>
        </w:rPr>
        <w:t>在四季度将保持消费白马和地产作为底仓的配置思路，适度增加银行、地产以及医药的配置比例。</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“3.1</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 xml:space="preserve">“3.2.1 </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bookmarkStart w:id="0" w:name="_GoBack"/>
      <w:bookmarkEnd w:id="0"/>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r w:rsidRPr="002070B4">
        <w:rPr>
          <w:color w:val="000000"/>
          <w:sz w:val="24"/>
        </w:rPr>
        <w:t xml:space="preserve"> </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p w:rsidR="006B5F69" w:rsidRPr="007B5F21" w:rsidRDefault="009C1009" w:rsidP="009C1009">
      <w:pPr>
        <w:autoSpaceDE w:val="0"/>
        <w:autoSpaceDN w:val="0"/>
        <w:adjustRightInd w:val="0"/>
        <w:spacing w:line="360" w:lineRule="auto"/>
        <w:jc w:val="right"/>
        <w:rPr>
          <w:rFonts w:eastAsiaTheme="minorEastAsia"/>
          <w:b/>
          <w:color w:val="000000" w:themeColor="text1"/>
          <w:kern w:val="0"/>
          <w:sz w:val="24"/>
          <w:szCs w:val="24"/>
        </w:rPr>
      </w:pPr>
      <w:r w:rsidRPr="009C1009">
        <w:rPr>
          <w:rFonts w:hint="eastAsia"/>
          <w:color w:val="000000"/>
          <w:kern w:val="0"/>
        </w:rPr>
        <w:t>金额单位：人民币元</w:t>
      </w:r>
    </w:p>
    <w:tbl>
      <w:tblPr>
        <w:tblStyle w:val="af7"/>
        <w:tblW w:w="8897" w:type="dxa"/>
        <w:tblInd w:w="108" w:type="dxa"/>
        <w:tblLayout w:type="fixed"/>
        <w:tblLook w:val="04A0" w:firstRow="1" w:lastRow="0" w:firstColumn="1" w:lastColumn="0" w:noHBand="0" w:noVBand="1"/>
      </w:tblPr>
      <w:tblGrid>
        <w:gridCol w:w="720"/>
        <w:gridCol w:w="2682"/>
        <w:gridCol w:w="2552"/>
        <w:gridCol w:w="2943"/>
      </w:tblGrid>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68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p>
        </w:tc>
        <w:tc>
          <w:tcPr>
            <w:tcW w:w="2943"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0018138B">
              <w:rPr>
                <w:rFonts w:eastAsiaTheme="minorEastAsia" w:hint="eastAsia"/>
                <w:color w:val="000000" w:themeColor="text1"/>
                <w:sz w:val="24"/>
                <w:szCs w:val="24"/>
              </w:rPr>
              <w:t>(</w:t>
            </w:r>
            <w:r w:rsidR="0018138B">
              <w:rPr>
                <w:rFonts w:eastAsiaTheme="minorEastAsia"/>
                <w:color w:val="000000" w:themeColor="text1"/>
                <w:sz w:val="24"/>
                <w:szCs w:val="24"/>
              </w:rPr>
              <w:t>%</w:t>
            </w:r>
            <w:r w:rsidR="0018138B">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306,230,433.89</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90.33</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306,230,433.89</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90.33</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682"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19,715,374.57</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5.82</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13,076,692.56</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3.86</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339,022,501.02</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Default="00F51C4E" w:rsidP="00F51C4E">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7B2639" w:rsidRPr="007B2639" w:rsidRDefault="009C1009" w:rsidP="009C1009">
      <w:pPr>
        <w:jc w:val="right"/>
        <w:rPr>
          <w:sz w:val="24"/>
        </w:rPr>
      </w:pPr>
      <w:r w:rsidRPr="009C1009">
        <w:rPr>
          <w:rFonts w:eastAsiaTheme="minorEastAsia" w:hint="eastAsia"/>
          <w:color w:val="000000" w:themeColor="text1"/>
          <w:kern w:val="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B11F31" w:rsidP="00C15CAC">
            <w:pPr>
              <w:adjustRightInd w:val="0"/>
              <w:snapToGrid w:val="0"/>
              <w:spacing w:before="29" w:line="288" w:lineRule="auto"/>
              <w:jc w:val="center"/>
              <w:rPr>
                <w:sz w:val="24"/>
                <w:szCs w:val="24"/>
              </w:rPr>
            </w:pPr>
            <w:r>
              <w:rPr>
                <w:sz w:val="24"/>
                <w:szCs w:val="24"/>
              </w:rPr>
              <w:t>公允价值</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237,835,277.44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70.53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w:t>
            </w:r>
            <w:r w:rsidRPr="00414345">
              <w:rPr>
                <w:sz w:val="24"/>
                <w:szCs w:val="24"/>
              </w:rPr>
              <w:lastRenderedPageBreak/>
              <w:t>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lastRenderedPageBreak/>
              <w:t>144,930.76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13,852,549.00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4.11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47,194,080.17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13.99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527,105.84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0.16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3,374,800.00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3,301,690.68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0.98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306,230,433.89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90.81</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F646C0">
        <w:trPr>
          <w:jc w:val="center"/>
        </w:trPr>
        <w:tc>
          <w:tcPr>
            <w:tcW w:w="855" w:type="dxa"/>
            <w:vAlign w:val="center"/>
          </w:tcPr>
          <w:p w:rsidR="00F646C0" w:rsidRDefault="006A3247">
            <w:pPr>
              <w:jc w:val="center"/>
            </w:pPr>
            <w:r>
              <w:rPr>
                <w:color w:val="000000"/>
                <w:sz w:val="24"/>
                <w:szCs w:val="24"/>
              </w:rPr>
              <w:t>1</w:t>
            </w:r>
          </w:p>
        </w:tc>
        <w:tc>
          <w:tcPr>
            <w:tcW w:w="1334" w:type="dxa"/>
            <w:vAlign w:val="center"/>
          </w:tcPr>
          <w:p w:rsidR="00F646C0" w:rsidRDefault="006A3247">
            <w:pPr>
              <w:jc w:val="center"/>
            </w:pPr>
            <w:r>
              <w:rPr>
                <w:color w:val="000000"/>
                <w:sz w:val="24"/>
                <w:szCs w:val="24"/>
              </w:rPr>
              <w:t>600519</w:t>
            </w:r>
          </w:p>
        </w:tc>
        <w:tc>
          <w:tcPr>
            <w:tcW w:w="1777" w:type="dxa"/>
            <w:vAlign w:val="center"/>
          </w:tcPr>
          <w:p w:rsidR="00F646C0" w:rsidRDefault="006A3247">
            <w:pPr>
              <w:jc w:val="center"/>
            </w:pPr>
            <w:r>
              <w:rPr>
                <w:color w:val="000000"/>
                <w:sz w:val="24"/>
                <w:szCs w:val="24"/>
              </w:rPr>
              <w:t>贵州茅台</w:t>
            </w:r>
          </w:p>
        </w:tc>
        <w:tc>
          <w:tcPr>
            <w:tcW w:w="1334" w:type="dxa"/>
            <w:vAlign w:val="center"/>
          </w:tcPr>
          <w:p w:rsidR="00F646C0" w:rsidRDefault="006A3247">
            <w:pPr>
              <w:jc w:val="right"/>
            </w:pPr>
            <w:r>
              <w:rPr>
                <w:color w:val="000000"/>
                <w:sz w:val="24"/>
                <w:szCs w:val="24"/>
              </w:rPr>
              <w:t>26,841</w:t>
            </w:r>
          </w:p>
        </w:tc>
        <w:tc>
          <w:tcPr>
            <w:tcW w:w="1924" w:type="dxa"/>
            <w:vAlign w:val="center"/>
          </w:tcPr>
          <w:p w:rsidR="00F646C0" w:rsidRDefault="006A3247">
            <w:pPr>
              <w:jc w:val="right"/>
            </w:pPr>
            <w:r>
              <w:rPr>
                <w:color w:val="000000"/>
                <w:sz w:val="24"/>
                <w:szCs w:val="24"/>
              </w:rPr>
              <w:t>30,867,150.00</w:t>
            </w:r>
          </w:p>
        </w:tc>
        <w:tc>
          <w:tcPr>
            <w:tcW w:w="1644" w:type="dxa"/>
            <w:vAlign w:val="center"/>
          </w:tcPr>
          <w:p w:rsidR="00F646C0" w:rsidRDefault="006A3247">
            <w:pPr>
              <w:jc w:val="right"/>
            </w:pPr>
            <w:r>
              <w:rPr>
                <w:color w:val="000000"/>
                <w:sz w:val="24"/>
                <w:szCs w:val="24"/>
              </w:rPr>
              <w:t>9.15</w:t>
            </w:r>
          </w:p>
        </w:tc>
      </w:tr>
      <w:tr w:rsidR="00F646C0">
        <w:trPr>
          <w:jc w:val="center"/>
        </w:trPr>
        <w:tc>
          <w:tcPr>
            <w:tcW w:w="855" w:type="dxa"/>
            <w:vAlign w:val="center"/>
          </w:tcPr>
          <w:p w:rsidR="00F646C0" w:rsidRDefault="006A3247">
            <w:pPr>
              <w:jc w:val="center"/>
            </w:pPr>
            <w:r>
              <w:rPr>
                <w:color w:val="000000"/>
                <w:sz w:val="24"/>
                <w:szCs w:val="24"/>
              </w:rPr>
              <w:t>2</w:t>
            </w:r>
          </w:p>
        </w:tc>
        <w:tc>
          <w:tcPr>
            <w:tcW w:w="1334" w:type="dxa"/>
            <w:vAlign w:val="center"/>
          </w:tcPr>
          <w:p w:rsidR="00F646C0" w:rsidRDefault="006A3247">
            <w:pPr>
              <w:jc w:val="center"/>
            </w:pPr>
            <w:r>
              <w:rPr>
                <w:color w:val="000000"/>
                <w:sz w:val="24"/>
                <w:szCs w:val="24"/>
              </w:rPr>
              <w:t>300146</w:t>
            </w:r>
          </w:p>
        </w:tc>
        <w:tc>
          <w:tcPr>
            <w:tcW w:w="1777" w:type="dxa"/>
            <w:vAlign w:val="center"/>
          </w:tcPr>
          <w:p w:rsidR="00F646C0" w:rsidRDefault="006A3247">
            <w:pPr>
              <w:jc w:val="center"/>
            </w:pPr>
            <w:r>
              <w:rPr>
                <w:color w:val="000000"/>
                <w:sz w:val="24"/>
                <w:szCs w:val="24"/>
              </w:rPr>
              <w:t>汤臣倍健</w:t>
            </w:r>
          </w:p>
        </w:tc>
        <w:tc>
          <w:tcPr>
            <w:tcW w:w="1334" w:type="dxa"/>
            <w:vAlign w:val="center"/>
          </w:tcPr>
          <w:p w:rsidR="00F646C0" w:rsidRDefault="006A3247">
            <w:pPr>
              <w:jc w:val="right"/>
            </w:pPr>
            <w:r>
              <w:rPr>
                <w:color w:val="000000"/>
                <w:sz w:val="24"/>
                <w:szCs w:val="24"/>
              </w:rPr>
              <w:t>1,628,771</w:t>
            </w:r>
          </w:p>
        </w:tc>
        <w:tc>
          <w:tcPr>
            <w:tcW w:w="1924" w:type="dxa"/>
            <w:vAlign w:val="center"/>
          </w:tcPr>
          <w:p w:rsidR="00F646C0" w:rsidRDefault="006A3247">
            <w:pPr>
              <w:jc w:val="right"/>
            </w:pPr>
            <w:r>
              <w:rPr>
                <w:color w:val="000000"/>
                <w:sz w:val="24"/>
                <w:szCs w:val="24"/>
              </w:rPr>
              <w:t>30,164,838.92</w:t>
            </w:r>
          </w:p>
        </w:tc>
        <w:tc>
          <w:tcPr>
            <w:tcW w:w="1644" w:type="dxa"/>
            <w:vAlign w:val="center"/>
          </w:tcPr>
          <w:p w:rsidR="00F646C0" w:rsidRDefault="006A3247">
            <w:pPr>
              <w:jc w:val="right"/>
            </w:pPr>
            <w:r>
              <w:rPr>
                <w:color w:val="000000"/>
                <w:sz w:val="24"/>
                <w:szCs w:val="24"/>
              </w:rPr>
              <w:t>8.94</w:t>
            </w:r>
          </w:p>
        </w:tc>
      </w:tr>
      <w:tr w:rsidR="00F646C0">
        <w:trPr>
          <w:jc w:val="center"/>
        </w:trPr>
        <w:tc>
          <w:tcPr>
            <w:tcW w:w="855" w:type="dxa"/>
            <w:vAlign w:val="center"/>
          </w:tcPr>
          <w:p w:rsidR="00F646C0" w:rsidRDefault="006A3247">
            <w:pPr>
              <w:jc w:val="center"/>
            </w:pPr>
            <w:r>
              <w:rPr>
                <w:color w:val="000000"/>
                <w:sz w:val="24"/>
                <w:szCs w:val="24"/>
              </w:rPr>
              <w:t>3</w:t>
            </w:r>
          </w:p>
        </w:tc>
        <w:tc>
          <w:tcPr>
            <w:tcW w:w="1334" w:type="dxa"/>
            <w:vAlign w:val="center"/>
          </w:tcPr>
          <w:p w:rsidR="00F646C0" w:rsidRDefault="006A3247">
            <w:pPr>
              <w:jc w:val="center"/>
            </w:pPr>
            <w:r>
              <w:rPr>
                <w:color w:val="000000"/>
                <w:sz w:val="24"/>
                <w:szCs w:val="24"/>
              </w:rPr>
              <w:t>000858</w:t>
            </w:r>
          </w:p>
        </w:tc>
        <w:tc>
          <w:tcPr>
            <w:tcW w:w="1777" w:type="dxa"/>
            <w:vAlign w:val="center"/>
          </w:tcPr>
          <w:p w:rsidR="00F646C0" w:rsidRDefault="006A3247">
            <w:pPr>
              <w:jc w:val="center"/>
            </w:pPr>
            <w:r>
              <w:rPr>
                <w:color w:val="000000"/>
                <w:sz w:val="24"/>
                <w:szCs w:val="24"/>
              </w:rPr>
              <w:t>五粮液</w:t>
            </w:r>
          </w:p>
        </w:tc>
        <w:tc>
          <w:tcPr>
            <w:tcW w:w="1334" w:type="dxa"/>
            <w:vAlign w:val="center"/>
          </w:tcPr>
          <w:p w:rsidR="00F646C0" w:rsidRDefault="006A3247">
            <w:pPr>
              <w:jc w:val="right"/>
            </w:pPr>
            <w:r>
              <w:rPr>
                <w:color w:val="000000"/>
                <w:sz w:val="24"/>
                <w:szCs w:val="24"/>
              </w:rPr>
              <w:t>229,063</w:t>
            </w:r>
          </w:p>
        </w:tc>
        <w:tc>
          <w:tcPr>
            <w:tcW w:w="1924" w:type="dxa"/>
            <w:vAlign w:val="center"/>
          </w:tcPr>
          <w:p w:rsidR="00F646C0" w:rsidRDefault="006A3247">
            <w:pPr>
              <w:jc w:val="right"/>
            </w:pPr>
            <w:r>
              <w:rPr>
                <w:color w:val="000000"/>
                <w:sz w:val="24"/>
                <w:szCs w:val="24"/>
              </w:rPr>
              <w:t>29,732,377.40</w:t>
            </w:r>
          </w:p>
        </w:tc>
        <w:tc>
          <w:tcPr>
            <w:tcW w:w="1644" w:type="dxa"/>
            <w:vAlign w:val="center"/>
          </w:tcPr>
          <w:p w:rsidR="00F646C0" w:rsidRDefault="006A3247">
            <w:pPr>
              <w:jc w:val="right"/>
            </w:pPr>
            <w:r>
              <w:rPr>
                <w:color w:val="000000"/>
                <w:sz w:val="24"/>
                <w:szCs w:val="24"/>
              </w:rPr>
              <w:t>8.82</w:t>
            </w:r>
          </w:p>
        </w:tc>
      </w:tr>
      <w:tr w:rsidR="00F646C0">
        <w:trPr>
          <w:jc w:val="center"/>
        </w:trPr>
        <w:tc>
          <w:tcPr>
            <w:tcW w:w="855" w:type="dxa"/>
            <w:vAlign w:val="center"/>
          </w:tcPr>
          <w:p w:rsidR="00F646C0" w:rsidRDefault="006A3247">
            <w:pPr>
              <w:jc w:val="center"/>
            </w:pPr>
            <w:r>
              <w:rPr>
                <w:color w:val="000000"/>
                <w:sz w:val="24"/>
                <w:szCs w:val="24"/>
              </w:rPr>
              <w:t>4</w:t>
            </w:r>
          </w:p>
        </w:tc>
        <w:tc>
          <w:tcPr>
            <w:tcW w:w="1334" w:type="dxa"/>
            <w:vAlign w:val="center"/>
          </w:tcPr>
          <w:p w:rsidR="00F646C0" w:rsidRDefault="006A3247">
            <w:pPr>
              <w:jc w:val="center"/>
            </w:pPr>
            <w:r>
              <w:rPr>
                <w:color w:val="000000"/>
                <w:sz w:val="24"/>
                <w:szCs w:val="24"/>
              </w:rPr>
              <w:t>603369</w:t>
            </w:r>
          </w:p>
        </w:tc>
        <w:tc>
          <w:tcPr>
            <w:tcW w:w="1777" w:type="dxa"/>
            <w:vAlign w:val="center"/>
          </w:tcPr>
          <w:p w:rsidR="00F646C0" w:rsidRDefault="006A3247">
            <w:pPr>
              <w:jc w:val="center"/>
            </w:pPr>
            <w:r>
              <w:rPr>
                <w:color w:val="000000"/>
                <w:sz w:val="24"/>
                <w:szCs w:val="24"/>
              </w:rPr>
              <w:t>今世缘</w:t>
            </w:r>
          </w:p>
        </w:tc>
        <w:tc>
          <w:tcPr>
            <w:tcW w:w="1334" w:type="dxa"/>
            <w:vAlign w:val="center"/>
          </w:tcPr>
          <w:p w:rsidR="00F646C0" w:rsidRDefault="006A3247">
            <w:pPr>
              <w:jc w:val="right"/>
            </w:pPr>
            <w:r>
              <w:rPr>
                <w:color w:val="000000"/>
                <w:sz w:val="24"/>
                <w:szCs w:val="24"/>
              </w:rPr>
              <w:t>910,486</w:t>
            </w:r>
          </w:p>
        </w:tc>
        <w:tc>
          <w:tcPr>
            <w:tcW w:w="1924" w:type="dxa"/>
            <w:vAlign w:val="center"/>
          </w:tcPr>
          <w:p w:rsidR="00F646C0" w:rsidRDefault="006A3247">
            <w:pPr>
              <w:jc w:val="right"/>
            </w:pPr>
            <w:r>
              <w:rPr>
                <w:color w:val="000000"/>
                <w:sz w:val="24"/>
                <w:szCs w:val="24"/>
              </w:rPr>
              <w:t>29,426,907.52</w:t>
            </w:r>
          </w:p>
        </w:tc>
        <w:tc>
          <w:tcPr>
            <w:tcW w:w="1644" w:type="dxa"/>
            <w:vAlign w:val="center"/>
          </w:tcPr>
          <w:p w:rsidR="00F646C0" w:rsidRDefault="006A3247">
            <w:pPr>
              <w:jc w:val="right"/>
            </w:pPr>
            <w:r>
              <w:rPr>
                <w:color w:val="000000"/>
                <w:sz w:val="24"/>
                <w:szCs w:val="24"/>
              </w:rPr>
              <w:t>8.73</w:t>
            </w:r>
          </w:p>
        </w:tc>
      </w:tr>
      <w:tr w:rsidR="00F646C0">
        <w:trPr>
          <w:jc w:val="center"/>
        </w:trPr>
        <w:tc>
          <w:tcPr>
            <w:tcW w:w="855" w:type="dxa"/>
            <w:vAlign w:val="center"/>
          </w:tcPr>
          <w:p w:rsidR="00F646C0" w:rsidRDefault="006A3247">
            <w:pPr>
              <w:jc w:val="center"/>
            </w:pPr>
            <w:r>
              <w:rPr>
                <w:color w:val="000000"/>
                <w:sz w:val="24"/>
                <w:szCs w:val="24"/>
              </w:rPr>
              <w:t>5</w:t>
            </w:r>
          </w:p>
        </w:tc>
        <w:tc>
          <w:tcPr>
            <w:tcW w:w="1334" w:type="dxa"/>
            <w:vAlign w:val="center"/>
          </w:tcPr>
          <w:p w:rsidR="00F646C0" w:rsidRDefault="006A3247">
            <w:pPr>
              <w:jc w:val="center"/>
            </w:pPr>
            <w:r>
              <w:rPr>
                <w:color w:val="000000"/>
                <w:sz w:val="24"/>
                <w:szCs w:val="24"/>
              </w:rPr>
              <w:t>000651</w:t>
            </w:r>
          </w:p>
        </w:tc>
        <w:tc>
          <w:tcPr>
            <w:tcW w:w="1777" w:type="dxa"/>
            <w:vAlign w:val="center"/>
          </w:tcPr>
          <w:p w:rsidR="00F646C0" w:rsidRDefault="006A3247">
            <w:pPr>
              <w:jc w:val="center"/>
            </w:pPr>
            <w:r>
              <w:rPr>
                <w:color w:val="000000"/>
                <w:sz w:val="24"/>
                <w:szCs w:val="24"/>
              </w:rPr>
              <w:t>格力电器</w:t>
            </w:r>
          </w:p>
        </w:tc>
        <w:tc>
          <w:tcPr>
            <w:tcW w:w="1334" w:type="dxa"/>
            <w:vAlign w:val="center"/>
          </w:tcPr>
          <w:p w:rsidR="00F646C0" w:rsidRDefault="006A3247">
            <w:pPr>
              <w:jc w:val="right"/>
            </w:pPr>
            <w:r>
              <w:rPr>
                <w:color w:val="000000"/>
                <w:sz w:val="24"/>
                <w:szCs w:val="24"/>
              </w:rPr>
              <w:t>410,969</w:t>
            </w:r>
          </w:p>
        </w:tc>
        <w:tc>
          <w:tcPr>
            <w:tcW w:w="1924" w:type="dxa"/>
            <w:vAlign w:val="center"/>
          </w:tcPr>
          <w:p w:rsidR="00F646C0" w:rsidRDefault="006A3247">
            <w:pPr>
              <w:jc w:val="right"/>
            </w:pPr>
            <w:r>
              <w:rPr>
                <w:color w:val="000000"/>
                <w:sz w:val="24"/>
                <w:szCs w:val="24"/>
              </w:rPr>
              <w:t>23,548,523.70</w:t>
            </w:r>
          </w:p>
        </w:tc>
        <w:tc>
          <w:tcPr>
            <w:tcW w:w="1644" w:type="dxa"/>
            <w:vAlign w:val="center"/>
          </w:tcPr>
          <w:p w:rsidR="00F646C0" w:rsidRDefault="006A3247">
            <w:pPr>
              <w:jc w:val="right"/>
            </w:pPr>
            <w:r>
              <w:rPr>
                <w:color w:val="000000"/>
                <w:sz w:val="24"/>
                <w:szCs w:val="24"/>
              </w:rPr>
              <w:t>6.98</w:t>
            </w:r>
          </w:p>
        </w:tc>
      </w:tr>
      <w:tr w:rsidR="00F646C0">
        <w:trPr>
          <w:jc w:val="center"/>
        </w:trPr>
        <w:tc>
          <w:tcPr>
            <w:tcW w:w="855" w:type="dxa"/>
            <w:vAlign w:val="center"/>
          </w:tcPr>
          <w:p w:rsidR="00F646C0" w:rsidRDefault="006A3247">
            <w:pPr>
              <w:jc w:val="center"/>
            </w:pPr>
            <w:r>
              <w:rPr>
                <w:color w:val="000000"/>
                <w:sz w:val="24"/>
                <w:szCs w:val="24"/>
              </w:rPr>
              <w:t>6</w:t>
            </w:r>
          </w:p>
        </w:tc>
        <w:tc>
          <w:tcPr>
            <w:tcW w:w="1334" w:type="dxa"/>
            <w:vAlign w:val="center"/>
          </w:tcPr>
          <w:p w:rsidR="00F646C0" w:rsidRDefault="006A3247">
            <w:pPr>
              <w:jc w:val="center"/>
            </w:pPr>
            <w:r>
              <w:rPr>
                <w:color w:val="000000"/>
                <w:sz w:val="24"/>
                <w:szCs w:val="24"/>
              </w:rPr>
              <w:t>600887</w:t>
            </w:r>
          </w:p>
        </w:tc>
        <w:tc>
          <w:tcPr>
            <w:tcW w:w="1777" w:type="dxa"/>
            <w:vAlign w:val="center"/>
          </w:tcPr>
          <w:p w:rsidR="00F646C0" w:rsidRDefault="006A3247">
            <w:pPr>
              <w:jc w:val="center"/>
            </w:pPr>
            <w:r>
              <w:rPr>
                <w:color w:val="000000"/>
                <w:sz w:val="24"/>
                <w:szCs w:val="24"/>
              </w:rPr>
              <w:t>伊利股份</w:t>
            </w:r>
          </w:p>
        </w:tc>
        <w:tc>
          <w:tcPr>
            <w:tcW w:w="1334" w:type="dxa"/>
            <w:vAlign w:val="center"/>
          </w:tcPr>
          <w:p w:rsidR="00F646C0" w:rsidRDefault="006A3247">
            <w:pPr>
              <w:jc w:val="right"/>
            </w:pPr>
            <w:r>
              <w:rPr>
                <w:color w:val="000000"/>
                <w:sz w:val="24"/>
                <w:szCs w:val="24"/>
              </w:rPr>
              <w:t>604,715</w:t>
            </w:r>
          </w:p>
        </w:tc>
        <w:tc>
          <w:tcPr>
            <w:tcW w:w="1924" w:type="dxa"/>
            <w:vAlign w:val="center"/>
          </w:tcPr>
          <w:p w:rsidR="00F646C0" w:rsidRDefault="006A3247">
            <w:pPr>
              <w:jc w:val="right"/>
            </w:pPr>
            <w:r>
              <w:rPr>
                <w:color w:val="000000"/>
                <w:sz w:val="24"/>
                <w:szCs w:val="24"/>
              </w:rPr>
              <w:t>17,246,471.80</w:t>
            </w:r>
          </w:p>
        </w:tc>
        <w:tc>
          <w:tcPr>
            <w:tcW w:w="1644" w:type="dxa"/>
            <w:vAlign w:val="center"/>
          </w:tcPr>
          <w:p w:rsidR="00F646C0" w:rsidRDefault="006A3247">
            <w:pPr>
              <w:jc w:val="right"/>
            </w:pPr>
            <w:r>
              <w:rPr>
                <w:color w:val="000000"/>
                <w:sz w:val="24"/>
                <w:szCs w:val="24"/>
              </w:rPr>
              <w:t>5.11</w:t>
            </w:r>
          </w:p>
        </w:tc>
      </w:tr>
      <w:tr w:rsidR="00F646C0">
        <w:trPr>
          <w:jc w:val="center"/>
        </w:trPr>
        <w:tc>
          <w:tcPr>
            <w:tcW w:w="855" w:type="dxa"/>
            <w:vAlign w:val="center"/>
          </w:tcPr>
          <w:p w:rsidR="00F646C0" w:rsidRDefault="006A3247">
            <w:pPr>
              <w:jc w:val="center"/>
            </w:pPr>
            <w:r>
              <w:rPr>
                <w:color w:val="000000"/>
                <w:sz w:val="24"/>
                <w:szCs w:val="24"/>
              </w:rPr>
              <w:t>7</w:t>
            </w:r>
          </w:p>
        </w:tc>
        <w:tc>
          <w:tcPr>
            <w:tcW w:w="1334" w:type="dxa"/>
            <w:vAlign w:val="center"/>
          </w:tcPr>
          <w:p w:rsidR="00F646C0" w:rsidRDefault="006A3247">
            <w:pPr>
              <w:jc w:val="center"/>
            </w:pPr>
            <w:r>
              <w:rPr>
                <w:color w:val="000000"/>
                <w:sz w:val="24"/>
                <w:szCs w:val="24"/>
              </w:rPr>
              <w:t>603886</w:t>
            </w:r>
          </w:p>
        </w:tc>
        <w:tc>
          <w:tcPr>
            <w:tcW w:w="1777" w:type="dxa"/>
            <w:vAlign w:val="center"/>
          </w:tcPr>
          <w:p w:rsidR="00F646C0" w:rsidRDefault="006A3247">
            <w:pPr>
              <w:jc w:val="center"/>
            </w:pPr>
            <w:r>
              <w:rPr>
                <w:color w:val="000000"/>
                <w:sz w:val="24"/>
                <w:szCs w:val="24"/>
              </w:rPr>
              <w:t>元祖股份</w:t>
            </w:r>
          </w:p>
        </w:tc>
        <w:tc>
          <w:tcPr>
            <w:tcW w:w="1334" w:type="dxa"/>
            <w:vAlign w:val="center"/>
          </w:tcPr>
          <w:p w:rsidR="00F646C0" w:rsidRDefault="006A3247">
            <w:pPr>
              <w:jc w:val="right"/>
            </w:pPr>
            <w:r>
              <w:rPr>
                <w:color w:val="000000"/>
                <w:sz w:val="24"/>
                <w:szCs w:val="24"/>
              </w:rPr>
              <w:t>916,700</w:t>
            </w:r>
          </w:p>
        </w:tc>
        <w:tc>
          <w:tcPr>
            <w:tcW w:w="1924" w:type="dxa"/>
            <w:vAlign w:val="center"/>
          </w:tcPr>
          <w:p w:rsidR="00F646C0" w:rsidRDefault="006A3247">
            <w:pPr>
              <w:jc w:val="right"/>
            </w:pPr>
            <w:r>
              <w:rPr>
                <w:color w:val="000000"/>
                <w:sz w:val="24"/>
                <w:szCs w:val="24"/>
              </w:rPr>
              <w:t>17,160,624.00</w:t>
            </w:r>
          </w:p>
        </w:tc>
        <w:tc>
          <w:tcPr>
            <w:tcW w:w="1644" w:type="dxa"/>
            <w:vAlign w:val="center"/>
          </w:tcPr>
          <w:p w:rsidR="00F646C0" w:rsidRDefault="006A3247">
            <w:pPr>
              <w:jc w:val="right"/>
            </w:pPr>
            <w:r>
              <w:rPr>
                <w:color w:val="000000"/>
                <w:sz w:val="24"/>
                <w:szCs w:val="24"/>
              </w:rPr>
              <w:t>5.09</w:t>
            </w:r>
          </w:p>
        </w:tc>
      </w:tr>
      <w:tr w:rsidR="00F646C0">
        <w:trPr>
          <w:jc w:val="center"/>
        </w:trPr>
        <w:tc>
          <w:tcPr>
            <w:tcW w:w="855" w:type="dxa"/>
            <w:vAlign w:val="center"/>
          </w:tcPr>
          <w:p w:rsidR="00F646C0" w:rsidRDefault="006A3247">
            <w:pPr>
              <w:jc w:val="center"/>
            </w:pPr>
            <w:r>
              <w:rPr>
                <w:color w:val="000000"/>
                <w:sz w:val="24"/>
                <w:szCs w:val="24"/>
              </w:rPr>
              <w:t>8</w:t>
            </w:r>
          </w:p>
        </w:tc>
        <w:tc>
          <w:tcPr>
            <w:tcW w:w="1334" w:type="dxa"/>
            <w:vAlign w:val="center"/>
          </w:tcPr>
          <w:p w:rsidR="00F646C0" w:rsidRDefault="006A3247">
            <w:pPr>
              <w:jc w:val="center"/>
            </w:pPr>
            <w:r>
              <w:rPr>
                <w:color w:val="000000"/>
                <w:sz w:val="24"/>
                <w:szCs w:val="24"/>
              </w:rPr>
              <w:t>000031</w:t>
            </w:r>
          </w:p>
        </w:tc>
        <w:tc>
          <w:tcPr>
            <w:tcW w:w="1777" w:type="dxa"/>
            <w:vAlign w:val="center"/>
          </w:tcPr>
          <w:p w:rsidR="00F646C0" w:rsidRDefault="006A3247">
            <w:pPr>
              <w:jc w:val="center"/>
            </w:pPr>
            <w:r>
              <w:rPr>
                <w:color w:val="000000"/>
                <w:sz w:val="24"/>
                <w:szCs w:val="24"/>
              </w:rPr>
              <w:t>大悦城</w:t>
            </w:r>
          </w:p>
        </w:tc>
        <w:tc>
          <w:tcPr>
            <w:tcW w:w="1334" w:type="dxa"/>
            <w:vAlign w:val="center"/>
          </w:tcPr>
          <w:p w:rsidR="00F646C0" w:rsidRDefault="006A3247">
            <w:pPr>
              <w:jc w:val="right"/>
            </w:pPr>
            <w:r>
              <w:rPr>
                <w:color w:val="000000"/>
                <w:sz w:val="24"/>
                <w:szCs w:val="24"/>
              </w:rPr>
              <w:t>2,059,901</w:t>
            </w:r>
          </w:p>
        </w:tc>
        <w:tc>
          <w:tcPr>
            <w:tcW w:w="1924" w:type="dxa"/>
            <w:vAlign w:val="center"/>
          </w:tcPr>
          <w:p w:rsidR="00F646C0" w:rsidRDefault="006A3247">
            <w:pPr>
              <w:jc w:val="right"/>
            </w:pPr>
            <w:r>
              <w:rPr>
                <w:color w:val="000000"/>
                <w:sz w:val="24"/>
                <w:szCs w:val="24"/>
              </w:rPr>
              <w:t>13,945,529.77</w:t>
            </w:r>
          </w:p>
        </w:tc>
        <w:tc>
          <w:tcPr>
            <w:tcW w:w="1644" w:type="dxa"/>
            <w:vAlign w:val="center"/>
          </w:tcPr>
          <w:p w:rsidR="00F646C0" w:rsidRDefault="006A3247">
            <w:pPr>
              <w:jc w:val="right"/>
            </w:pPr>
            <w:r>
              <w:rPr>
                <w:color w:val="000000"/>
                <w:sz w:val="24"/>
                <w:szCs w:val="24"/>
              </w:rPr>
              <w:t>4.14</w:t>
            </w:r>
          </w:p>
        </w:tc>
      </w:tr>
      <w:tr w:rsidR="00F646C0">
        <w:trPr>
          <w:jc w:val="center"/>
        </w:trPr>
        <w:tc>
          <w:tcPr>
            <w:tcW w:w="855" w:type="dxa"/>
            <w:vAlign w:val="center"/>
          </w:tcPr>
          <w:p w:rsidR="00F646C0" w:rsidRDefault="006A3247">
            <w:pPr>
              <w:jc w:val="center"/>
            </w:pPr>
            <w:r>
              <w:rPr>
                <w:color w:val="000000"/>
                <w:sz w:val="24"/>
                <w:szCs w:val="24"/>
              </w:rPr>
              <w:t>9</w:t>
            </w:r>
          </w:p>
        </w:tc>
        <w:tc>
          <w:tcPr>
            <w:tcW w:w="1334" w:type="dxa"/>
            <w:vAlign w:val="center"/>
          </w:tcPr>
          <w:p w:rsidR="00F646C0" w:rsidRDefault="006A3247">
            <w:pPr>
              <w:jc w:val="center"/>
            </w:pPr>
            <w:r>
              <w:rPr>
                <w:color w:val="000000"/>
                <w:sz w:val="24"/>
                <w:szCs w:val="24"/>
              </w:rPr>
              <w:t>600007</w:t>
            </w:r>
          </w:p>
        </w:tc>
        <w:tc>
          <w:tcPr>
            <w:tcW w:w="1777" w:type="dxa"/>
            <w:vAlign w:val="center"/>
          </w:tcPr>
          <w:p w:rsidR="00F646C0" w:rsidRDefault="006A3247">
            <w:pPr>
              <w:jc w:val="center"/>
            </w:pPr>
            <w:r>
              <w:rPr>
                <w:color w:val="000000"/>
                <w:sz w:val="24"/>
                <w:szCs w:val="24"/>
              </w:rPr>
              <w:t>中国国贸</w:t>
            </w:r>
          </w:p>
        </w:tc>
        <w:tc>
          <w:tcPr>
            <w:tcW w:w="1334" w:type="dxa"/>
            <w:vAlign w:val="center"/>
          </w:tcPr>
          <w:p w:rsidR="00F646C0" w:rsidRDefault="006A3247">
            <w:pPr>
              <w:jc w:val="right"/>
            </w:pPr>
            <w:r>
              <w:rPr>
                <w:color w:val="000000"/>
                <w:sz w:val="24"/>
                <w:szCs w:val="24"/>
              </w:rPr>
              <w:t>730,100</w:t>
            </w:r>
          </w:p>
        </w:tc>
        <w:tc>
          <w:tcPr>
            <w:tcW w:w="1924" w:type="dxa"/>
            <w:vAlign w:val="center"/>
          </w:tcPr>
          <w:p w:rsidR="00F646C0" w:rsidRDefault="006A3247">
            <w:pPr>
              <w:jc w:val="right"/>
            </w:pPr>
            <w:r>
              <w:rPr>
                <w:color w:val="000000"/>
                <w:sz w:val="24"/>
                <w:szCs w:val="24"/>
              </w:rPr>
              <w:t>11,805,717.00</w:t>
            </w:r>
          </w:p>
        </w:tc>
        <w:tc>
          <w:tcPr>
            <w:tcW w:w="1644" w:type="dxa"/>
            <w:vAlign w:val="center"/>
          </w:tcPr>
          <w:p w:rsidR="00F646C0" w:rsidRDefault="006A3247">
            <w:pPr>
              <w:jc w:val="right"/>
            </w:pPr>
            <w:r>
              <w:rPr>
                <w:color w:val="000000"/>
                <w:sz w:val="24"/>
                <w:szCs w:val="24"/>
              </w:rPr>
              <w:t>3.50</w:t>
            </w:r>
          </w:p>
        </w:tc>
      </w:tr>
      <w:tr w:rsidR="00F646C0">
        <w:trPr>
          <w:jc w:val="center"/>
        </w:trPr>
        <w:tc>
          <w:tcPr>
            <w:tcW w:w="855" w:type="dxa"/>
            <w:vAlign w:val="center"/>
          </w:tcPr>
          <w:p w:rsidR="00F646C0" w:rsidRDefault="006A3247">
            <w:pPr>
              <w:jc w:val="center"/>
            </w:pPr>
            <w:r>
              <w:rPr>
                <w:color w:val="000000"/>
                <w:sz w:val="24"/>
                <w:szCs w:val="24"/>
              </w:rPr>
              <w:t>10</w:t>
            </w:r>
          </w:p>
        </w:tc>
        <w:tc>
          <w:tcPr>
            <w:tcW w:w="1334" w:type="dxa"/>
            <w:vAlign w:val="center"/>
          </w:tcPr>
          <w:p w:rsidR="00F646C0" w:rsidRDefault="006A3247">
            <w:pPr>
              <w:jc w:val="center"/>
            </w:pPr>
            <w:r>
              <w:rPr>
                <w:color w:val="000000"/>
                <w:sz w:val="24"/>
                <w:szCs w:val="24"/>
              </w:rPr>
              <w:t>600529</w:t>
            </w:r>
          </w:p>
        </w:tc>
        <w:tc>
          <w:tcPr>
            <w:tcW w:w="1777" w:type="dxa"/>
            <w:vAlign w:val="center"/>
          </w:tcPr>
          <w:p w:rsidR="00F646C0" w:rsidRDefault="006A3247">
            <w:pPr>
              <w:jc w:val="center"/>
            </w:pPr>
            <w:r>
              <w:rPr>
                <w:color w:val="000000"/>
                <w:sz w:val="24"/>
                <w:szCs w:val="24"/>
              </w:rPr>
              <w:t>山东药玻</w:t>
            </w:r>
          </w:p>
        </w:tc>
        <w:tc>
          <w:tcPr>
            <w:tcW w:w="1334" w:type="dxa"/>
            <w:vAlign w:val="center"/>
          </w:tcPr>
          <w:p w:rsidR="00F646C0" w:rsidRDefault="006A3247">
            <w:pPr>
              <w:jc w:val="right"/>
            </w:pPr>
            <w:r>
              <w:rPr>
                <w:color w:val="000000"/>
                <w:sz w:val="24"/>
                <w:szCs w:val="24"/>
              </w:rPr>
              <w:t>489,400</w:t>
            </w:r>
          </w:p>
        </w:tc>
        <w:tc>
          <w:tcPr>
            <w:tcW w:w="1924" w:type="dxa"/>
            <w:vAlign w:val="center"/>
          </w:tcPr>
          <w:p w:rsidR="00F646C0" w:rsidRDefault="006A3247">
            <w:pPr>
              <w:jc w:val="right"/>
            </w:pPr>
            <w:r>
              <w:rPr>
                <w:color w:val="000000"/>
                <w:sz w:val="24"/>
                <w:szCs w:val="24"/>
              </w:rPr>
              <w:t>11,412,808.00</w:t>
            </w:r>
          </w:p>
        </w:tc>
        <w:tc>
          <w:tcPr>
            <w:tcW w:w="1644" w:type="dxa"/>
            <w:vAlign w:val="center"/>
          </w:tcPr>
          <w:p w:rsidR="00F646C0" w:rsidRDefault="006A3247">
            <w:pPr>
              <w:jc w:val="right"/>
            </w:pPr>
            <w:r>
              <w:rPr>
                <w:color w:val="000000"/>
                <w:sz w:val="24"/>
                <w:szCs w:val="24"/>
              </w:rPr>
              <w:t>3.38</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R="00DD7A00" w:rsidRPr="00414345" w:rsidRDefault="004A0AA9" w:rsidP="00DD7A00">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金额单位：人民币元</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118,719.36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12,804,890.64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5,304.44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147,778.12</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13,076,692.56</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lastRenderedPageBreak/>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6</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202,808,449.88</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52,612,791.45</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42,067,989.31</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213,353,252.02</w:t>
            </w:r>
          </w:p>
        </w:tc>
      </w:tr>
    </w:tbl>
    <w:p w:rsidR="00F646C0" w:rsidRDefault="006A3247">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F646C0" w:rsidRDefault="006A3247">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、中国证监会核准交银施罗德趋势优先股票证券投资基金募集的文件；</w:t>
      </w:r>
      <w:r>
        <w:rPr>
          <w:color w:val="000000"/>
          <w:sz w:val="24"/>
          <w:szCs w:val="24"/>
        </w:rPr>
        <w:t xml:space="preserve"> </w:t>
      </w:r>
    </w:p>
    <w:p w:rsidR="00F646C0" w:rsidRDefault="006A3247">
      <w:pPr>
        <w:spacing w:before="29" w:line="288" w:lineRule="auto"/>
        <w:ind w:firstLineChars="200" w:firstLine="480"/>
        <w:rPr>
          <w:color w:val="000000"/>
          <w:sz w:val="24"/>
          <w:szCs w:val="24"/>
        </w:rPr>
      </w:pPr>
      <w:r>
        <w:rPr>
          <w:color w:val="000000"/>
          <w:sz w:val="24"/>
          <w:szCs w:val="24"/>
        </w:rPr>
        <w:lastRenderedPageBreak/>
        <w:t>2</w:t>
      </w:r>
      <w:r>
        <w:rPr>
          <w:color w:val="000000"/>
          <w:sz w:val="24"/>
          <w:szCs w:val="24"/>
        </w:rPr>
        <w:t>、《交银施罗德趋势优先混合型证券投资基金基金合同》；</w:t>
      </w:r>
      <w:r>
        <w:rPr>
          <w:color w:val="000000"/>
          <w:sz w:val="24"/>
          <w:szCs w:val="24"/>
        </w:rPr>
        <w:t xml:space="preserve"> </w:t>
      </w:r>
    </w:p>
    <w:p w:rsidR="00F646C0" w:rsidRDefault="006A3247">
      <w:pPr>
        <w:spacing w:before="29" w:line="288" w:lineRule="auto"/>
        <w:ind w:firstLineChars="200" w:firstLine="480"/>
        <w:rPr>
          <w:color w:val="000000"/>
          <w:sz w:val="24"/>
          <w:szCs w:val="24"/>
        </w:rPr>
      </w:pPr>
      <w:r>
        <w:rPr>
          <w:color w:val="000000"/>
          <w:sz w:val="24"/>
          <w:szCs w:val="24"/>
        </w:rPr>
        <w:t>3</w:t>
      </w:r>
      <w:r>
        <w:rPr>
          <w:color w:val="000000"/>
          <w:sz w:val="24"/>
          <w:szCs w:val="24"/>
        </w:rPr>
        <w:t>、《交银施罗德趋势优先混合型证券投资基金招募说明书》；</w:t>
      </w:r>
    </w:p>
    <w:p w:rsidR="00F646C0" w:rsidRDefault="006A3247">
      <w:pPr>
        <w:spacing w:before="29" w:line="288" w:lineRule="auto"/>
        <w:ind w:firstLineChars="200" w:firstLine="480"/>
        <w:rPr>
          <w:color w:val="000000"/>
          <w:sz w:val="24"/>
          <w:szCs w:val="24"/>
        </w:rPr>
      </w:pPr>
      <w:r>
        <w:rPr>
          <w:color w:val="000000"/>
          <w:sz w:val="24"/>
          <w:szCs w:val="24"/>
        </w:rPr>
        <w:t>4</w:t>
      </w:r>
      <w:r>
        <w:rPr>
          <w:color w:val="000000"/>
          <w:sz w:val="24"/>
          <w:szCs w:val="24"/>
        </w:rPr>
        <w:t>、《交银施罗德趋势优先混合型证券投资基金托管协议》；</w:t>
      </w:r>
      <w:r>
        <w:rPr>
          <w:color w:val="000000"/>
          <w:sz w:val="24"/>
          <w:szCs w:val="24"/>
        </w:rPr>
        <w:t xml:space="preserve"> </w:t>
      </w:r>
    </w:p>
    <w:p w:rsidR="00F646C0" w:rsidRDefault="006A3247">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、关于申请募集交银施罗德趋势优先股票证券投资基金之法律意见书；</w:t>
      </w:r>
    </w:p>
    <w:p w:rsidR="00F646C0" w:rsidRDefault="006A3247">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p>
    <w:p w:rsidR="00F646C0" w:rsidRDefault="006A3247">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、报告期内交银施罗德趋势优先混合型证券投资基金在指定报刊上各项公告的原稿。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F646C0" w:rsidRDefault="006A3247">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w:t>
      </w:r>
      <w:r>
        <w:rPr>
          <w:color w:val="000000"/>
          <w:sz w:val="24"/>
          <w:szCs w:val="24"/>
        </w:rPr>
        <w:t>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247" w:rsidRDefault="006A3247" w:rsidP="00876D65">
      <w:r>
        <w:separator/>
      </w:r>
    </w:p>
  </w:endnote>
  <w:endnote w:type="continuationSeparator" w:id="0">
    <w:p w:rsidR="006A3247" w:rsidRDefault="006A3247"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EC0933">
      <w:rPr>
        <w:noProof/>
        <w:kern w:val="0"/>
        <w:szCs w:val="21"/>
      </w:rPr>
      <w:t>6</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EC0933">
      <w:rPr>
        <w:noProof/>
        <w:kern w:val="0"/>
        <w:szCs w:val="21"/>
      </w:rPr>
      <w:t>11</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247" w:rsidRDefault="006A3247" w:rsidP="00876D65">
      <w:r>
        <w:separator/>
      </w:r>
    </w:p>
  </w:footnote>
  <w:footnote w:type="continuationSeparator" w:id="0">
    <w:p w:rsidR="006A3247" w:rsidRDefault="006A3247"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交银施罗德趋势优先混合型证券投资基金</w:t>
    </w:r>
    <w:r w:rsidRPr="003E676C">
      <w:rPr>
        <w:sz w:val="24"/>
        <w:szCs w:val="24"/>
      </w:rPr>
      <w:t>2019</w:t>
    </w:r>
    <w:r w:rsidRPr="003E676C">
      <w:rPr>
        <w:sz w:val="24"/>
        <w:szCs w:val="24"/>
      </w:rPr>
      <w:t>年第</w:t>
    </w:r>
    <w:r w:rsidRPr="003E676C">
      <w:rPr>
        <w:sz w:val="24"/>
        <w:szCs w:val="24"/>
      </w:rPr>
      <w:t>3</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3247"/>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0933"/>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46C0"/>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A89DB-C750-4387-9619-0A6FCC7E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1824</TotalTime>
  <Pages>11</Pages>
  <Words>961</Words>
  <Characters>5483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郝婷婷</cp:lastModifiedBy>
  <cp:revision>598</cp:revision>
  <dcterms:created xsi:type="dcterms:W3CDTF">2012-10-16T06:07:00Z</dcterms:created>
  <dcterms:modified xsi:type="dcterms:W3CDTF">2019-10-18T03:28:00Z</dcterms:modified>
</cp:coreProperties>
</file>