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A305E" w:rsidRDefault="00B43DA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489,586,560.44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43DA9" w:rsidRPr="00414345" w:rsidTr="00B43DA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43DA9" w:rsidRPr="00414345" w:rsidTr="00B43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17,167,615.60</w:t>
            </w:r>
          </w:p>
        </w:tc>
      </w:tr>
      <w:tr w:rsidR="00B43DA9" w:rsidRPr="00414345" w:rsidTr="00B43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27,231,544.27</w:t>
            </w:r>
          </w:p>
        </w:tc>
      </w:tr>
      <w:tr w:rsidR="00B43DA9" w:rsidRPr="00414345" w:rsidTr="00B43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0.0511</w:t>
            </w:r>
          </w:p>
        </w:tc>
      </w:tr>
      <w:tr w:rsidR="00B43DA9" w:rsidRPr="00414345" w:rsidTr="00B43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498,495,128.86</w:t>
            </w:r>
          </w:p>
        </w:tc>
      </w:tr>
      <w:tr w:rsidR="00B43DA9" w:rsidRPr="00414345" w:rsidTr="00B43DA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1.018</w:t>
            </w:r>
          </w:p>
        </w:tc>
      </w:tr>
    </w:tbl>
    <w:p w:rsidR="001A305E" w:rsidRDefault="00B43DA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A305E">
        <w:trPr>
          <w:jc w:val="center"/>
        </w:trPr>
        <w:tc>
          <w:tcPr>
            <w:tcW w:w="1701" w:type="dxa"/>
            <w:vAlign w:val="center"/>
          </w:tcPr>
          <w:p w:rsidR="001A305E" w:rsidRDefault="00B43DA9">
            <w:pPr>
              <w:jc w:val="left"/>
            </w:pPr>
            <w:r>
              <w:rPr>
                <w:color w:val="000000"/>
                <w:sz w:val="24"/>
                <w:szCs w:val="24"/>
              </w:rPr>
              <w:t>过去三个月</w:t>
            </w:r>
          </w:p>
        </w:tc>
        <w:tc>
          <w:tcPr>
            <w:tcW w:w="1045" w:type="dxa"/>
            <w:vAlign w:val="center"/>
          </w:tcPr>
          <w:p w:rsidR="001A305E" w:rsidRDefault="00B43DA9">
            <w:pPr>
              <w:jc w:val="center"/>
            </w:pPr>
            <w:r>
              <w:rPr>
                <w:color w:val="000000"/>
                <w:sz w:val="24"/>
                <w:szCs w:val="24"/>
              </w:rPr>
              <w:t>4.84%</w:t>
            </w:r>
          </w:p>
        </w:tc>
        <w:tc>
          <w:tcPr>
            <w:tcW w:w="1344" w:type="dxa"/>
            <w:vAlign w:val="center"/>
          </w:tcPr>
          <w:p w:rsidR="001A305E" w:rsidRDefault="00B43DA9">
            <w:pPr>
              <w:jc w:val="center"/>
            </w:pPr>
            <w:r>
              <w:rPr>
                <w:color w:val="000000"/>
                <w:sz w:val="24"/>
                <w:szCs w:val="24"/>
              </w:rPr>
              <w:t>0.95%</w:t>
            </w:r>
          </w:p>
        </w:tc>
        <w:tc>
          <w:tcPr>
            <w:tcW w:w="1194" w:type="dxa"/>
            <w:vAlign w:val="center"/>
          </w:tcPr>
          <w:p w:rsidR="001A305E" w:rsidRDefault="00B43DA9">
            <w:pPr>
              <w:jc w:val="center"/>
            </w:pPr>
            <w:r>
              <w:rPr>
                <w:color w:val="000000"/>
                <w:sz w:val="24"/>
                <w:szCs w:val="24"/>
              </w:rPr>
              <w:t>0.45%</w:t>
            </w:r>
          </w:p>
        </w:tc>
        <w:tc>
          <w:tcPr>
            <w:tcW w:w="1492" w:type="dxa"/>
            <w:vAlign w:val="center"/>
          </w:tcPr>
          <w:p w:rsidR="001A305E" w:rsidRDefault="00B43DA9">
            <w:pPr>
              <w:jc w:val="center"/>
            </w:pPr>
            <w:r>
              <w:rPr>
                <w:color w:val="000000"/>
                <w:sz w:val="24"/>
                <w:szCs w:val="24"/>
              </w:rPr>
              <w:t>0.57%</w:t>
            </w:r>
          </w:p>
        </w:tc>
        <w:tc>
          <w:tcPr>
            <w:tcW w:w="1194" w:type="dxa"/>
            <w:vAlign w:val="center"/>
          </w:tcPr>
          <w:p w:rsidR="001A305E" w:rsidRDefault="00B43DA9">
            <w:pPr>
              <w:jc w:val="center"/>
            </w:pPr>
            <w:r>
              <w:rPr>
                <w:color w:val="000000"/>
                <w:sz w:val="24"/>
                <w:szCs w:val="24"/>
              </w:rPr>
              <w:t>4.39%</w:t>
            </w:r>
          </w:p>
        </w:tc>
        <w:tc>
          <w:tcPr>
            <w:tcW w:w="898" w:type="dxa"/>
            <w:vAlign w:val="center"/>
          </w:tcPr>
          <w:p w:rsidR="001A305E" w:rsidRDefault="00B43DA9">
            <w:pPr>
              <w:jc w:val="center"/>
            </w:pPr>
            <w:r>
              <w:rPr>
                <w:color w:val="000000"/>
                <w:sz w:val="24"/>
                <w:szCs w:val="24"/>
              </w:rPr>
              <w:t>0.38%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A305E">
        <w:trPr>
          <w:jc w:val="center"/>
        </w:trPr>
        <w:tc>
          <w:tcPr>
            <w:tcW w:w="846" w:type="dxa"/>
            <w:vAlign w:val="center"/>
          </w:tcPr>
          <w:p w:rsidR="001A305E" w:rsidRDefault="00B43DA9">
            <w:pPr>
              <w:jc w:val="center"/>
            </w:pPr>
            <w:r>
              <w:rPr>
                <w:color w:val="000000"/>
                <w:sz w:val="24"/>
                <w:szCs w:val="24"/>
              </w:rPr>
              <w:t>沈楠</w:t>
            </w:r>
          </w:p>
        </w:tc>
        <w:tc>
          <w:tcPr>
            <w:tcW w:w="845" w:type="dxa"/>
            <w:vAlign w:val="center"/>
          </w:tcPr>
          <w:p w:rsidR="001A305E" w:rsidRDefault="00B43DA9">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1A305E" w:rsidRDefault="00B43DA9">
            <w:pPr>
              <w:jc w:val="center"/>
            </w:pPr>
            <w:r>
              <w:rPr>
                <w:color w:val="000000"/>
                <w:sz w:val="24"/>
                <w:szCs w:val="24"/>
              </w:rPr>
              <w:lastRenderedPageBreak/>
              <w:t>2015-06-10</w:t>
            </w:r>
          </w:p>
        </w:tc>
        <w:tc>
          <w:tcPr>
            <w:tcW w:w="1548" w:type="dxa"/>
            <w:vAlign w:val="center"/>
          </w:tcPr>
          <w:p w:rsidR="001A305E" w:rsidRDefault="00B43DA9">
            <w:pPr>
              <w:jc w:val="center"/>
            </w:pPr>
            <w:r>
              <w:rPr>
                <w:color w:val="000000"/>
                <w:sz w:val="24"/>
                <w:szCs w:val="24"/>
              </w:rPr>
              <w:t>-</w:t>
            </w:r>
          </w:p>
        </w:tc>
        <w:tc>
          <w:tcPr>
            <w:tcW w:w="1407" w:type="dxa"/>
            <w:vAlign w:val="center"/>
          </w:tcPr>
          <w:p w:rsidR="001A305E" w:rsidRDefault="00B43DA9">
            <w:pPr>
              <w:jc w:val="center"/>
            </w:pPr>
            <w:r>
              <w:rPr>
                <w:color w:val="000000"/>
                <w:sz w:val="24"/>
                <w:szCs w:val="24"/>
              </w:rPr>
              <w:t>10</w:t>
            </w:r>
            <w:r>
              <w:rPr>
                <w:color w:val="000000"/>
                <w:sz w:val="24"/>
                <w:szCs w:val="24"/>
              </w:rPr>
              <w:t>年</w:t>
            </w:r>
          </w:p>
        </w:tc>
        <w:tc>
          <w:tcPr>
            <w:tcW w:w="2673" w:type="dxa"/>
            <w:vAlign w:val="center"/>
          </w:tcPr>
          <w:p w:rsidR="001A305E" w:rsidRDefault="00B43DA9">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A305E" w:rsidRDefault="00B43DA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A305E" w:rsidRDefault="00B43DA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A305E" w:rsidRDefault="00B43DA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A305E" w:rsidRDefault="00B43DA9">
      <w:pPr>
        <w:spacing w:before="29" w:line="288" w:lineRule="auto"/>
        <w:ind w:firstLineChars="200" w:firstLine="480"/>
        <w:rPr>
          <w:color w:val="000000"/>
          <w:sz w:val="24"/>
          <w:szCs w:val="24"/>
        </w:rPr>
      </w:pPr>
      <w:r>
        <w:rPr>
          <w:color w:val="000000"/>
          <w:sz w:val="24"/>
          <w:szCs w:val="24"/>
        </w:rPr>
        <w:t>2019</w:t>
      </w:r>
      <w:r>
        <w:rPr>
          <w:color w:val="000000"/>
          <w:sz w:val="24"/>
          <w:szCs w:val="24"/>
        </w:rPr>
        <w:t>年三季度，国内经济数据延续放缓态势，但中美贸易冲突有所缓和。财政政策持续发力于基建、新能源、汽车家电以及旧改等方向。与此同时，央行进一步降准并引导</w:t>
      </w:r>
      <w:r>
        <w:rPr>
          <w:color w:val="000000"/>
          <w:sz w:val="24"/>
          <w:szCs w:val="24"/>
        </w:rPr>
        <w:t>LPR</w:t>
      </w:r>
      <w:r>
        <w:rPr>
          <w:color w:val="000000"/>
          <w:sz w:val="24"/>
          <w:szCs w:val="24"/>
        </w:rPr>
        <w:t>利率下行，缓解流动性压力。我们认为政策环境趋于宽松且在未来一段时间仍将维持，中期来看目前仍处于市场底部区域，下行风险不大。未来国内需求改善将对冲外需下滑的不确定性，因此市场仍然处于可为阶段。</w:t>
      </w:r>
    </w:p>
    <w:p w:rsidR="001A305E" w:rsidRDefault="00B43DA9">
      <w:pPr>
        <w:spacing w:before="29" w:line="288" w:lineRule="auto"/>
        <w:ind w:firstLineChars="200" w:firstLine="480"/>
        <w:rPr>
          <w:color w:val="000000"/>
          <w:sz w:val="24"/>
          <w:szCs w:val="24"/>
        </w:rPr>
      </w:pPr>
      <w:r>
        <w:rPr>
          <w:color w:val="000000"/>
          <w:sz w:val="24"/>
          <w:szCs w:val="24"/>
        </w:rPr>
        <w:t>国企改革的进程仍在进一步推进，三季度以来上海、深圳以及沈阳三地的区域性国</w:t>
      </w:r>
      <w:r>
        <w:rPr>
          <w:color w:val="000000"/>
          <w:sz w:val="24"/>
          <w:szCs w:val="24"/>
        </w:rPr>
        <w:t>资国企综改试验有条不紊的开始推进，我们坚信这是国资国企改革进一步深化的重要标志，我们将继续看好该领域的投资机会。</w:t>
      </w:r>
    </w:p>
    <w:p w:rsidR="001A305E" w:rsidRDefault="00B43DA9">
      <w:pPr>
        <w:spacing w:before="29" w:line="288" w:lineRule="auto"/>
        <w:ind w:firstLineChars="200" w:firstLine="480"/>
        <w:rPr>
          <w:color w:val="000000"/>
          <w:sz w:val="24"/>
          <w:szCs w:val="24"/>
        </w:rPr>
      </w:pPr>
      <w:r>
        <w:rPr>
          <w:color w:val="000000"/>
          <w:sz w:val="24"/>
          <w:szCs w:val="24"/>
        </w:rPr>
        <w:t>报告期内本基金重点配置了食品、酒店、传媒、金融以及地产等消费领域，同时进一步增配了</w:t>
      </w:r>
      <w:r>
        <w:rPr>
          <w:color w:val="000000"/>
          <w:sz w:val="24"/>
          <w:szCs w:val="24"/>
        </w:rPr>
        <w:t>TMT</w:t>
      </w:r>
      <w:r>
        <w:rPr>
          <w:color w:val="000000"/>
          <w:sz w:val="24"/>
          <w:szCs w:val="24"/>
        </w:rPr>
        <w:t>等成长性行业。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我们认为可以继续关注重点区域的改革试点。若贸易争端缓和，结构性投资机会预计将不断显现，市场估值有望回升，主题趋于活跃。本基金将通过加强学习中央及地方国资部门的文件精神，力求把握最新改革方向，努力在混合所有制改革、管理层及核心员工激励、产业整合等几大维度进行布局，分享国资国企改革带来的市场化红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453,651,168.27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453,651,168.27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25,729,235.80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25,729,235.80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20,210,652.54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1,224,808.10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500,815,864.71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11,427,423.60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204,391,861.62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5,783,891.30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32,175,024.30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33,382,762.00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15,528,903.10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30,372,129.40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57,335,286.20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24,116,546.20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4,119,893.03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30,012,447.52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453,651,168.27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A305E">
        <w:trPr>
          <w:jc w:val="center"/>
        </w:trPr>
        <w:tc>
          <w:tcPr>
            <w:tcW w:w="855" w:type="dxa"/>
            <w:vAlign w:val="center"/>
          </w:tcPr>
          <w:p w:rsidR="001A305E" w:rsidRDefault="00B43DA9">
            <w:pPr>
              <w:jc w:val="center"/>
            </w:pPr>
            <w:r>
              <w:rPr>
                <w:color w:val="000000"/>
                <w:sz w:val="24"/>
                <w:szCs w:val="24"/>
              </w:rPr>
              <w:t>1</w:t>
            </w:r>
          </w:p>
        </w:tc>
        <w:tc>
          <w:tcPr>
            <w:tcW w:w="1334" w:type="dxa"/>
            <w:vAlign w:val="center"/>
          </w:tcPr>
          <w:p w:rsidR="001A305E" w:rsidRDefault="00B43DA9">
            <w:pPr>
              <w:jc w:val="center"/>
            </w:pPr>
            <w:r>
              <w:rPr>
                <w:color w:val="000000"/>
                <w:sz w:val="24"/>
                <w:szCs w:val="24"/>
              </w:rPr>
              <w:t>300413</w:t>
            </w:r>
          </w:p>
        </w:tc>
        <w:tc>
          <w:tcPr>
            <w:tcW w:w="1777" w:type="dxa"/>
            <w:vAlign w:val="center"/>
          </w:tcPr>
          <w:p w:rsidR="001A305E" w:rsidRDefault="00B43DA9">
            <w:pPr>
              <w:jc w:val="center"/>
            </w:pPr>
            <w:r>
              <w:rPr>
                <w:color w:val="000000"/>
                <w:sz w:val="24"/>
                <w:szCs w:val="24"/>
              </w:rPr>
              <w:t>芒果超媒</w:t>
            </w:r>
          </w:p>
        </w:tc>
        <w:tc>
          <w:tcPr>
            <w:tcW w:w="1334" w:type="dxa"/>
            <w:vAlign w:val="center"/>
          </w:tcPr>
          <w:p w:rsidR="001A305E" w:rsidRDefault="00B43DA9">
            <w:pPr>
              <w:jc w:val="right"/>
            </w:pPr>
            <w:r>
              <w:rPr>
                <w:color w:val="000000"/>
                <w:sz w:val="24"/>
                <w:szCs w:val="24"/>
              </w:rPr>
              <w:t>445,420</w:t>
            </w:r>
          </w:p>
        </w:tc>
        <w:tc>
          <w:tcPr>
            <w:tcW w:w="1924" w:type="dxa"/>
            <w:vAlign w:val="center"/>
          </w:tcPr>
          <w:p w:rsidR="001A305E" w:rsidRDefault="00B43DA9">
            <w:pPr>
              <w:jc w:val="right"/>
            </w:pPr>
            <w:r>
              <w:rPr>
                <w:color w:val="000000"/>
                <w:sz w:val="24"/>
                <w:szCs w:val="24"/>
              </w:rPr>
              <w:t>20,382,419.20</w:t>
            </w:r>
          </w:p>
        </w:tc>
        <w:tc>
          <w:tcPr>
            <w:tcW w:w="1644" w:type="dxa"/>
            <w:vAlign w:val="center"/>
          </w:tcPr>
          <w:p w:rsidR="001A305E" w:rsidRDefault="00B43DA9">
            <w:pPr>
              <w:jc w:val="right"/>
            </w:pPr>
            <w:r>
              <w:rPr>
                <w:color w:val="000000"/>
                <w:sz w:val="24"/>
                <w:szCs w:val="24"/>
              </w:rPr>
              <w:t>4.09</w:t>
            </w:r>
          </w:p>
        </w:tc>
      </w:tr>
      <w:tr w:rsidR="001A305E">
        <w:trPr>
          <w:jc w:val="center"/>
        </w:trPr>
        <w:tc>
          <w:tcPr>
            <w:tcW w:w="855" w:type="dxa"/>
            <w:vAlign w:val="center"/>
          </w:tcPr>
          <w:p w:rsidR="001A305E" w:rsidRDefault="00B43DA9">
            <w:pPr>
              <w:jc w:val="center"/>
            </w:pPr>
            <w:r>
              <w:rPr>
                <w:color w:val="000000"/>
                <w:sz w:val="24"/>
                <w:szCs w:val="24"/>
              </w:rPr>
              <w:t>2</w:t>
            </w:r>
          </w:p>
        </w:tc>
        <w:tc>
          <w:tcPr>
            <w:tcW w:w="1334" w:type="dxa"/>
            <w:vAlign w:val="center"/>
          </w:tcPr>
          <w:p w:rsidR="001A305E" w:rsidRDefault="00B43DA9">
            <w:pPr>
              <w:jc w:val="center"/>
            </w:pPr>
            <w:r>
              <w:rPr>
                <w:color w:val="000000"/>
                <w:sz w:val="24"/>
                <w:szCs w:val="24"/>
              </w:rPr>
              <w:t>600216</w:t>
            </w:r>
          </w:p>
        </w:tc>
        <w:tc>
          <w:tcPr>
            <w:tcW w:w="1777" w:type="dxa"/>
            <w:vAlign w:val="center"/>
          </w:tcPr>
          <w:p w:rsidR="001A305E" w:rsidRDefault="00B43DA9">
            <w:pPr>
              <w:jc w:val="center"/>
            </w:pPr>
            <w:r>
              <w:rPr>
                <w:color w:val="000000"/>
                <w:sz w:val="24"/>
                <w:szCs w:val="24"/>
              </w:rPr>
              <w:t>浙江医药</w:t>
            </w:r>
          </w:p>
        </w:tc>
        <w:tc>
          <w:tcPr>
            <w:tcW w:w="1334" w:type="dxa"/>
            <w:vAlign w:val="center"/>
          </w:tcPr>
          <w:p w:rsidR="001A305E" w:rsidRDefault="00B43DA9">
            <w:pPr>
              <w:jc w:val="right"/>
            </w:pPr>
            <w:r>
              <w:rPr>
                <w:color w:val="000000"/>
                <w:sz w:val="24"/>
                <w:szCs w:val="24"/>
              </w:rPr>
              <w:t>1,600,000</w:t>
            </w:r>
          </w:p>
        </w:tc>
        <w:tc>
          <w:tcPr>
            <w:tcW w:w="1924" w:type="dxa"/>
            <w:vAlign w:val="center"/>
          </w:tcPr>
          <w:p w:rsidR="001A305E" w:rsidRDefault="00B43DA9">
            <w:pPr>
              <w:jc w:val="right"/>
            </w:pPr>
            <w:r>
              <w:rPr>
                <w:color w:val="000000"/>
                <w:sz w:val="24"/>
                <w:szCs w:val="24"/>
              </w:rPr>
              <w:t>18,320,000.00</w:t>
            </w:r>
          </w:p>
        </w:tc>
        <w:tc>
          <w:tcPr>
            <w:tcW w:w="1644" w:type="dxa"/>
            <w:vAlign w:val="center"/>
          </w:tcPr>
          <w:p w:rsidR="001A305E" w:rsidRDefault="00B43DA9">
            <w:pPr>
              <w:jc w:val="right"/>
            </w:pPr>
            <w:r>
              <w:rPr>
                <w:color w:val="000000"/>
                <w:sz w:val="24"/>
                <w:szCs w:val="24"/>
              </w:rPr>
              <w:t>3.68</w:t>
            </w:r>
          </w:p>
        </w:tc>
      </w:tr>
      <w:tr w:rsidR="001A305E">
        <w:trPr>
          <w:jc w:val="center"/>
        </w:trPr>
        <w:tc>
          <w:tcPr>
            <w:tcW w:w="855" w:type="dxa"/>
            <w:vAlign w:val="center"/>
          </w:tcPr>
          <w:p w:rsidR="001A305E" w:rsidRDefault="00B43DA9">
            <w:pPr>
              <w:jc w:val="center"/>
            </w:pPr>
            <w:r>
              <w:rPr>
                <w:color w:val="000000"/>
                <w:sz w:val="24"/>
                <w:szCs w:val="24"/>
              </w:rPr>
              <w:t>3</w:t>
            </w:r>
          </w:p>
        </w:tc>
        <w:tc>
          <w:tcPr>
            <w:tcW w:w="1334" w:type="dxa"/>
            <w:vAlign w:val="center"/>
          </w:tcPr>
          <w:p w:rsidR="001A305E" w:rsidRDefault="00B43DA9">
            <w:pPr>
              <w:jc w:val="center"/>
            </w:pPr>
            <w:r>
              <w:rPr>
                <w:color w:val="000000"/>
                <w:sz w:val="24"/>
                <w:szCs w:val="24"/>
              </w:rPr>
              <w:t>600038</w:t>
            </w:r>
          </w:p>
        </w:tc>
        <w:tc>
          <w:tcPr>
            <w:tcW w:w="1777" w:type="dxa"/>
            <w:vAlign w:val="center"/>
          </w:tcPr>
          <w:p w:rsidR="001A305E" w:rsidRDefault="00B43DA9">
            <w:pPr>
              <w:jc w:val="center"/>
            </w:pPr>
            <w:r>
              <w:rPr>
                <w:color w:val="000000"/>
                <w:sz w:val="24"/>
                <w:szCs w:val="24"/>
              </w:rPr>
              <w:t>中直股份</w:t>
            </w:r>
          </w:p>
        </w:tc>
        <w:tc>
          <w:tcPr>
            <w:tcW w:w="1334" w:type="dxa"/>
            <w:vAlign w:val="center"/>
          </w:tcPr>
          <w:p w:rsidR="001A305E" w:rsidRDefault="00B43DA9">
            <w:pPr>
              <w:jc w:val="right"/>
            </w:pPr>
            <w:r>
              <w:rPr>
                <w:color w:val="000000"/>
                <w:sz w:val="24"/>
                <w:szCs w:val="24"/>
              </w:rPr>
              <w:t>400,000</w:t>
            </w:r>
          </w:p>
        </w:tc>
        <w:tc>
          <w:tcPr>
            <w:tcW w:w="1924" w:type="dxa"/>
            <w:vAlign w:val="center"/>
          </w:tcPr>
          <w:p w:rsidR="001A305E" w:rsidRDefault="00B43DA9">
            <w:pPr>
              <w:jc w:val="right"/>
            </w:pPr>
            <w:r>
              <w:rPr>
                <w:color w:val="000000"/>
                <w:sz w:val="24"/>
                <w:szCs w:val="24"/>
              </w:rPr>
              <w:t>17,968,000.00</w:t>
            </w:r>
          </w:p>
        </w:tc>
        <w:tc>
          <w:tcPr>
            <w:tcW w:w="1644" w:type="dxa"/>
            <w:vAlign w:val="center"/>
          </w:tcPr>
          <w:p w:rsidR="001A305E" w:rsidRDefault="00B43DA9">
            <w:pPr>
              <w:jc w:val="right"/>
            </w:pPr>
            <w:r>
              <w:rPr>
                <w:color w:val="000000"/>
                <w:sz w:val="24"/>
                <w:szCs w:val="24"/>
              </w:rPr>
              <w:t>3.60</w:t>
            </w:r>
          </w:p>
        </w:tc>
      </w:tr>
      <w:tr w:rsidR="001A305E">
        <w:trPr>
          <w:jc w:val="center"/>
        </w:trPr>
        <w:tc>
          <w:tcPr>
            <w:tcW w:w="855" w:type="dxa"/>
            <w:vAlign w:val="center"/>
          </w:tcPr>
          <w:p w:rsidR="001A305E" w:rsidRDefault="00B43DA9">
            <w:pPr>
              <w:jc w:val="center"/>
            </w:pPr>
            <w:r>
              <w:rPr>
                <w:color w:val="000000"/>
                <w:sz w:val="24"/>
                <w:szCs w:val="24"/>
              </w:rPr>
              <w:t>4</w:t>
            </w:r>
          </w:p>
        </w:tc>
        <w:tc>
          <w:tcPr>
            <w:tcW w:w="1334" w:type="dxa"/>
            <w:vAlign w:val="center"/>
          </w:tcPr>
          <w:p w:rsidR="001A305E" w:rsidRDefault="00B43DA9">
            <w:pPr>
              <w:jc w:val="center"/>
            </w:pPr>
            <w:r>
              <w:rPr>
                <w:color w:val="000000"/>
                <w:sz w:val="24"/>
                <w:szCs w:val="24"/>
              </w:rPr>
              <w:t>600030</w:t>
            </w:r>
          </w:p>
        </w:tc>
        <w:tc>
          <w:tcPr>
            <w:tcW w:w="1777" w:type="dxa"/>
            <w:vAlign w:val="center"/>
          </w:tcPr>
          <w:p w:rsidR="001A305E" w:rsidRDefault="00B43DA9">
            <w:pPr>
              <w:jc w:val="center"/>
            </w:pPr>
            <w:r>
              <w:rPr>
                <w:color w:val="000000"/>
                <w:sz w:val="24"/>
                <w:szCs w:val="24"/>
              </w:rPr>
              <w:t>中信证券</w:t>
            </w:r>
          </w:p>
        </w:tc>
        <w:tc>
          <w:tcPr>
            <w:tcW w:w="1334" w:type="dxa"/>
            <w:vAlign w:val="center"/>
          </w:tcPr>
          <w:p w:rsidR="001A305E" w:rsidRDefault="00B43DA9">
            <w:pPr>
              <w:jc w:val="right"/>
            </w:pPr>
            <w:r>
              <w:rPr>
                <w:color w:val="000000"/>
                <w:sz w:val="24"/>
                <w:szCs w:val="24"/>
              </w:rPr>
              <w:t>757,700</w:t>
            </w:r>
          </w:p>
        </w:tc>
        <w:tc>
          <w:tcPr>
            <w:tcW w:w="1924" w:type="dxa"/>
            <w:vAlign w:val="center"/>
          </w:tcPr>
          <w:p w:rsidR="001A305E" w:rsidRDefault="00B43DA9">
            <w:pPr>
              <w:jc w:val="right"/>
            </w:pPr>
            <w:r>
              <w:rPr>
                <w:color w:val="000000"/>
                <w:sz w:val="24"/>
                <w:szCs w:val="24"/>
              </w:rPr>
              <w:t>17,033,096.00</w:t>
            </w:r>
          </w:p>
        </w:tc>
        <w:tc>
          <w:tcPr>
            <w:tcW w:w="1644" w:type="dxa"/>
            <w:vAlign w:val="center"/>
          </w:tcPr>
          <w:p w:rsidR="001A305E" w:rsidRDefault="00B43DA9">
            <w:pPr>
              <w:jc w:val="right"/>
            </w:pPr>
            <w:r>
              <w:rPr>
                <w:color w:val="000000"/>
                <w:sz w:val="24"/>
                <w:szCs w:val="24"/>
              </w:rPr>
              <w:t>3.42</w:t>
            </w:r>
          </w:p>
        </w:tc>
      </w:tr>
      <w:tr w:rsidR="001A305E">
        <w:trPr>
          <w:jc w:val="center"/>
        </w:trPr>
        <w:tc>
          <w:tcPr>
            <w:tcW w:w="855" w:type="dxa"/>
            <w:vAlign w:val="center"/>
          </w:tcPr>
          <w:p w:rsidR="001A305E" w:rsidRDefault="00B43DA9">
            <w:pPr>
              <w:jc w:val="center"/>
            </w:pPr>
            <w:r>
              <w:rPr>
                <w:color w:val="000000"/>
                <w:sz w:val="24"/>
                <w:szCs w:val="24"/>
              </w:rPr>
              <w:t>5</w:t>
            </w:r>
          </w:p>
        </w:tc>
        <w:tc>
          <w:tcPr>
            <w:tcW w:w="1334" w:type="dxa"/>
            <w:vAlign w:val="center"/>
          </w:tcPr>
          <w:p w:rsidR="001A305E" w:rsidRDefault="00B43DA9">
            <w:pPr>
              <w:jc w:val="center"/>
            </w:pPr>
            <w:r>
              <w:rPr>
                <w:color w:val="000000"/>
                <w:sz w:val="24"/>
                <w:szCs w:val="24"/>
              </w:rPr>
              <w:t>600258</w:t>
            </w:r>
          </w:p>
        </w:tc>
        <w:tc>
          <w:tcPr>
            <w:tcW w:w="1777" w:type="dxa"/>
            <w:vAlign w:val="center"/>
          </w:tcPr>
          <w:p w:rsidR="001A305E" w:rsidRDefault="00B43DA9">
            <w:pPr>
              <w:jc w:val="center"/>
            </w:pPr>
            <w:r>
              <w:rPr>
                <w:color w:val="000000"/>
                <w:sz w:val="24"/>
                <w:szCs w:val="24"/>
              </w:rPr>
              <w:t>首旅酒店</w:t>
            </w:r>
          </w:p>
        </w:tc>
        <w:tc>
          <w:tcPr>
            <w:tcW w:w="1334" w:type="dxa"/>
            <w:vAlign w:val="center"/>
          </w:tcPr>
          <w:p w:rsidR="001A305E" w:rsidRDefault="00B43DA9">
            <w:pPr>
              <w:jc w:val="right"/>
            </w:pPr>
            <w:r>
              <w:rPr>
                <w:color w:val="000000"/>
                <w:sz w:val="24"/>
                <w:szCs w:val="24"/>
              </w:rPr>
              <w:t>924,890</w:t>
            </w:r>
          </w:p>
        </w:tc>
        <w:tc>
          <w:tcPr>
            <w:tcW w:w="1924" w:type="dxa"/>
            <w:vAlign w:val="center"/>
          </w:tcPr>
          <w:p w:rsidR="001A305E" w:rsidRDefault="00B43DA9">
            <w:pPr>
              <w:jc w:val="right"/>
            </w:pPr>
            <w:r>
              <w:rPr>
                <w:color w:val="000000"/>
                <w:sz w:val="24"/>
                <w:szCs w:val="24"/>
              </w:rPr>
              <w:t>15,528,903.10</w:t>
            </w:r>
          </w:p>
        </w:tc>
        <w:tc>
          <w:tcPr>
            <w:tcW w:w="1644" w:type="dxa"/>
            <w:vAlign w:val="center"/>
          </w:tcPr>
          <w:p w:rsidR="001A305E" w:rsidRDefault="00B43DA9">
            <w:pPr>
              <w:jc w:val="right"/>
            </w:pPr>
            <w:r>
              <w:rPr>
                <w:color w:val="000000"/>
                <w:sz w:val="24"/>
                <w:szCs w:val="24"/>
              </w:rPr>
              <w:t>3.12</w:t>
            </w:r>
          </w:p>
        </w:tc>
      </w:tr>
      <w:tr w:rsidR="001A305E">
        <w:trPr>
          <w:jc w:val="center"/>
        </w:trPr>
        <w:tc>
          <w:tcPr>
            <w:tcW w:w="855" w:type="dxa"/>
            <w:vAlign w:val="center"/>
          </w:tcPr>
          <w:p w:rsidR="001A305E" w:rsidRDefault="00B43DA9">
            <w:pPr>
              <w:jc w:val="center"/>
            </w:pPr>
            <w:r>
              <w:rPr>
                <w:color w:val="000000"/>
                <w:sz w:val="24"/>
                <w:szCs w:val="24"/>
              </w:rPr>
              <w:t>6</w:t>
            </w:r>
          </w:p>
        </w:tc>
        <w:tc>
          <w:tcPr>
            <w:tcW w:w="1334" w:type="dxa"/>
            <w:vAlign w:val="center"/>
          </w:tcPr>
          <w:p w:rsidR="001A305E" w:rsidRDefault="00B43DA9">
            <w:pPr>
              <w:jc w:val="center"/>
            </w:pPr>
            <w:r>
              <w:rPr>
                <w:color w:val="000000"/>
                <w:sz w:val="24"/>
                <w:szCs w:val="24"/>
              </w:rPr>
              <w:t>601398</w:t>
            </w:r>
          </w:p>
        </w:tc>
        <w:tc>
          <w:tcPr>
            <w:tcW w:w="1777" w:type="dxa"/>
            <w:vAlign w:val="center"/>
          </w:tcPr>
          <w:p w:rsidR="001A305E" w:rsidRDefault="00B43DA9">
            <w:pPr>
              <w:jc w:val="center"/>
            </w:pPr>
            <w:r>
              <w:rPr>
                <w:color w:val="000000"/>
                <w:sz w:val="24"/>
                <w:szCs w:val="24"/>
              </w:rPr>
              <w:t>工商银行</w:t>
            </w:r>
          </w:p>
        </w:tc>
        <w:tc>
          <w:tcPr>
            <w:tcW w:w="1334" w:type="dxa"/>
            <w:vAlign w:val="center"/>
          </w:tcPr>
          <w:p w:rsidR="001A305E" w:rsidRDefault="00B43DA9">
            <w:pPr>
              <w:jc w:val="right"/>
            </w:pPr>
            <w:r>
              <w:rPr>
                <w:color w:val="000000"/>
                <w:sz w:val="24"/>
                <w:szCs w:val="24"/>
              </w:rPr>
              <w:t>2,799,900</w:t>
            </w:r>
          </w:p>
        </w:tc>
        <w:tc>
          <w:tcPr>
            <w:tcW w:w="1924" w:type="dxa"/>
            <w:vAlign w:val="center"/>
          </w:tcPr>
          <w:p w:rsidR="001A305E" w:rsidRDefault="00B43DA9">
            <w:pPr>
              <w:jc w:val="right"/>
            </w:pPr>
            <w:r>
              <w:rPr>
                <w:color w:val="000000"/>
                <w:sz w:val="24"/>
                <w:szCs w:val="24"/>
              </w:rPr>
              <w:t>15,483,447.00</w:t>
            </w:r>
          </w:p>
        </w:tc>
        <w:tc>
          <w:tcPr>
            <w:tcW w:w="1644" w:type="dxa"/>
            <w:vAlign w:val="center"/>
          </w:tcPr>
          <w:p w:rsidR="001A305E" w:rsidRDefault="00B43DA9">
            <w:pPr>
              <w:jc w:val="right"/>
            </w:pPr>
            <w:r>
              <w:rPr>
                <w:color w:val="000000"/>
                <w:sz w:val="24"/>
                <w:szCs w:val="24"/>
              </w:rPr>
              <w:t>3.11</w:t>
            </w:r>
          </w:p>
        </w:tc>
      </w:tr>
      <w:tr w:rsidR="001A305E">
        <w:trPr>
          <w:jc w:val="center"/>
        </w:trPr>
        <w:tc>
          <w:tcPr>
            <w:tcW w:w="855" w:type="dxa"/>
            <w:vAlign w:val="center"/>
          </w:tcPr>
          <w:p w:rsidR="001A305E" w:rsidRDefault="00B43DA9">
            <w:pPr>
              <w:jc w:val="center"/>
            </w:pPr>
            <w:r>
              <w:rPr>
                <w:color w:val="000000"/>
                <w:sz w:val="24"/>
                <w:szCs w:val="24"/>
              </w:rPr>
              <w:t>7</w:t>
            </w:r>
          </w:p>
        </w:tc>
        <w:tc>
          <w:tcPr>
            <w:tcW w:w="1334" w:type="dxa"/>
            <w:vAlign w:val="center"/>
          </w:tcPr>
          <w:p w:rsidR="001A305E" w:rsidRDefault="00B43DA9">
            <w:pPr>
              <w:jc w:val="center"/>
            </w:pPr>
            <w:r>
              <w:rPr>
                <w:color w:val="000000"/>
                <w:sz w:val="24"/>
                <w:szCs w:val="24"/>
              </w:rPr>
              <w:t>600048</w:t>
            </w:r>
          </w:p>
        </w:tc>
        <w:tc>
          <w:tcPr>
            <w:tcW w:w="1777" w:type="dxa"/>
            <w:vAlign w:val="center"/>
          </w:tcPr>
          <w:p w:rsidR="001A305E" w:rsidRDefault="00B43DA9">
            <w:pPr>
              <w:jc w:val="center"/>
            </w:pPr>
            <w:r>
              <w:rPr>
                <w:color w:val="000000"/>
                <w:sz w:val="24"/>
                <w:szCs w:val="24"/>
              </w:rPr>
              <w:t>保利地产</w:t>
            </w:r>
          </w:p>
        </w:tc>
        <w:tc>
          <w:tcPr>
            <w:tcW w:w="1334" w:type="dxa"/>
            <w:vAlign w:val="center"/>
          </w:tcPr>
          <w:p w:rsidR="001A305E" w:rsidRDefault="00B43DA9">
            <w:pPr>
              <w:jc w:val="right"/>
            </w:pPr>
            <w:r>
              <w:rPr>
                <w:color w:val="000000"/>
                <w:sz w:val="24"/>
                <w:szCs w:val="24"/>
              </w:rPr>
              <w:t>1,034,234</w:t>
            </w:r>
          </w:p>
        </w:tc>
        <w:tc>
          <w:tcPr>
            <w:tcW w:w="1924" w:type="dxa"/>
            <w:vAlign w:val="center"/>
          </w:tcPr>
          <w:p w:rsidR="001A305E" w:rsidRDefault="00B43DA9">
            <w:pPr>
              <w:jc w:val="right"/>
            </w:pPr>
            <w:r>
              <w:rPr>
                <w:color w:val="000000"/>
                <w:sz w:val="24"/>
                <w:szCs w:val="24"/>
              </w:rPr>
              <w:t>14,789,546.20</w:t>
            </w:r>
          </w:p>
        </w:tc>
        <w:tc>
          <w:tcPr>
            <w:tcW w:w="1644" w:type="dxa"/>
            <w:vAlign w:val="center"/>
          </w:tcPr>
          <w:p w:rsidR="001A305E" w:rsidRDefault="00B43DA9">
            <w:pPr>
              <w:jc w:val="right"/>
            </w:pPr>
            <w:r>
              <w:rPr>
                <w:color w:val="000000"/>
                <w:sz w:val="24"/>
                <w:szCs w:val="24"/>
              </w:rPr>
              <w:t>2.97</w:t>
            </w:r>
          </w:p>
        </w:tc>
      </w:tr>
      <w:tr w:rsidR="001A305E">
        <w:trPr>
          <w:jc w:val="center"/>
        </w:trPr>
        <w:tc>
          <w:tcPr>
            <w:tcW w:w="855" w:type="dxa"/>
            <w:vAlign w:val="center"/>
          </w:tcPr>
          <w:p w:rsidR="001A305E" w:rsidRDefault="00B43DA9">
            <w:pPr>
              <w:jc w:val="center"/>
            </w:pPr>
            <w:r>
              <w:rPr>
                <w:color w:val="000000"/>
                <w:sz w:val="24"/>
                <w:szCs w:val="24"/>
              </w:rPr>
              <w:t>8</w:t>
            </w:r>
          </w:p>
        </w:tc>
        <w:tc>
          <w:tcPr>
            <w:tcW w:w="1334" w:type="dxa"/>
            <w:vAlign w:val="center"/>
          </w:tcPr>
          <w:p w:rsidR="001A305E" w:rsidRDefault="00B43DA9">
            <w:pPr>
              <w:jc w:val="center"/>
            </w:pPr>
            <w:r>
              <w:rPr>
                <w:color w:val="000000"/>
                <w:sz w:val="24"/>
                <w:szCs w:val="24"/>
              </w:rPr>
              <w:t>600406</w:t>
            </w:r>
          </w:p>
        </w:tc>
        <w:tc>
          <w:tcPr>
            <w:tcW w:w="1777" w:type="dxa"/>
            <w:vAlign w:val="center"/>
          </w:tcPr>
          <w:p w:rsidR="001A305E" w:rsidRDefault="00B43DA9">
            <w:pPr>
              <w:jc w:val="center"/>
            </w:pPr>
            <w:r>
              <w:rPr>
                <w:color w:val="000000"/>
                <w:sz w:val="24"/>
                <w:szCs w:val="24"/>
              </w:rPr>
              <w:t>国电南瑞</w:t>
            </w:r>
          </w:p>
        </w:tc>
        <w:tc>
          <w:tcPr>
            <w:tcW w:w="1334" w:type="dxa"/>
            <w:vAlign w:val="center"/>
          </w:tcPr>
          <w:p w:rsidR="001A305E" w:rsidRDefault="00B43DA9">
            <w:pPr>
              <w:jc w:val="right"/>
            </w:pPr>
            <w:r>
              <w:rPr>
                <w:color w:val="000000"/>
                <w:sz w:val="24"/>
                <w:szCs w:val="24"/>
              </w:rPr>
              <w:t>720,000</w:t>
            </w:r>
          </w:p>
        </w:tc>
        <w:tc>
          <w:tcPr>
            <w:tcW w:w="1924" w:type="dxa"/>
            <w:vAlign w:val="center"/>
          </w:tcPr>
          <w:p w:rsidR="001A305E" w:rsidRDefault="00B43DA9">
            <w:pPr>
              <w:jc w:val="right"/>
            </w:pPr>
            <w:r>
              <w:rPr>
                <w:color w:val="000000"/>
                <w:sz w:val="24"/>
                <w:szCs w:val="24"/>
              </w:rPr>
              <w:t>14,724,000.00</w:t>
            </w:r>
          </w:p>
        </w:tc>
        <w:tc>
          <w:tcPr>
            <w:tcW w:w="1644" w:type="dxa"/>
            <w:vAlign w:val="center"/>
          </w:tcPr>
          <w:p w:rsidR="001A305E" w:rsidRDefault="00B43DA9">
            <w:pPr>
              <w:jc w:val="right"/>
            </w:pPr>
            <w:r>
              <w:rPr>
                <w:color w:val="000000"/>
                <w:sz w:val="24"/>
                <w:szCs w:val="24"/>
              </w:rPr>
              <w:t>2.95</w:t>
            </w:r>
          </w:p>
        </w:tc>
      </w:tr>
      <w:tr w:rsidR="001A305E">
        <w:trPr>
          <w:jc w:val="center"/>
        </w:trPr>
        <w:tc>
          <w:tcPr>
            <w:tcW w:w="855" w:type="dxa"/>
            <w:vAlign w:val="center"/>
          </w:tcPr>
          <w:p w:rsidR="001A305E" w:rsidRDefault="00B43DA9">
            <w:pPr>
              <w:jc w:val="center"/>
            </w:pPr>
            <w:r>
              <w:rPr>
                <w:color w:val="000000"/>
                <w:sz w:val="24"/>
                <w:szCs w:val="24"/>
              </w:rPr>
              <w:t>9</w:t>
            </w:r>
          </w:p>
        </w:tc>
        <w:tc>
          <w:tcPr>
            <w:tcW w:w="1334" w:type="dxa"/>
            <w:vAlign w:val="center"/>
          </w:tcPr>
          <w:p w:rsidR="001A305E" w:rsidRDefault="00B43DA9">
            <w:pPr>
              <w:jc w:val="center"/>
            </w:pPr>
            <w:r>
              <w:rPr>
                <w:color w:val="000000"/>
                <w:sz w:val="24"/>
                <w:szCs w:val="24"/>
              </w:rPr>
              <w:t>300034</w:t>
            </w:r>
          </w:p>
        </w:tc>
        <w:tc>
          <w:tcPr>
            <w:tcW w:w="1777" w:type="dxa"/>
            <w:vAlign w:val="center"/>
          </w:tcPr>
          <w:p w:rsidR="001A305E" w:rsidRDefault="00B43DA9">
            <w:pPr>
              <w:jc w:val="center"/>
            </w:pPr>
            <w:r>
              <w:rPr>
                <w:color w:val="000000"/>
                <w:sz w:val="24"/>
                <w:szCs w:val="24"/>
              </w:rPr>
              <w:t>钢研高纳</w:t>
            </w:r>
          </w:p>
        </w:tc>
        <w:tc>
          <w:tcPr>
            <w:tcW w:w="1334" w:type="dxa"/>
            <w:vAlign w:val="center"/>
          </w:tcPr>
          <w:p w:rsidR="001A305E" w:rsidRDefault="00B43DA9">
            <w:pPr>
              <w:jc w:val="right"/>
            </w:pPr>
            <w:r>
              <w:rPr>
                <w:color w:val="000000"/>
                <w:sz w:val="24"/>
                <w:szCs w:val="24"/>
              </w:rPr>
              <w:t>888,400</w:t>
            </w:r>
          </w:p>
        </w:tc>
        <w:tc>
          <w:tcPr>
            <w:tcW w:w="1924" w:type="dxa"/>
            <w:vAlign w:val="center"/>
          </w:tcPr>
          <w:p w:rsidR="001A305E" w:rsidRDefault="00B43DA9">
            <w:pPr>
              <w:jc w:val="right"/>
            </w:pPr>
            <w:r>
              <w:rPr>
                <w:color w:val="000000"/>
                <w:sz w:val="24"/>
                <w:szCs w:val="24"/>
              </w:rPr>
              <w:t>14,614,180.00</w:t>
            </w:r>
          </w:p>
        </w:tc>
        <w:tc>
          <w:tcPr>
            <w:tcW w:w="1644" w:type="dxa"/>
            <w:vAlign w:val="center"/>
          </w:tcPr>
          <w:p w:rsidR="001A305E" w:rsidRDefault="00B43DA9">
            <w:pPr>
              <w:jc w:val="right"/>
            </w:pPr>
            <w:r>
              <w:rPr>
                <w:color w:val="000000"/>
                <w:sz w:val="24"/>
                <w:szCs w:val="24"/>
              </w:rPr>
              <w:t>2.93</w:t>
            </w:r>
          </w:p>
        </w:tc>
      </w:tr>
      <w:tr w:rsidR="001A305E">
        <w:trPr>
          <w:jc w:val="center"/>
        </w:trPr>
        <w:tc>
          <w:tcPr>
            <w:tcW w:w="855" w:type="dxa"/>
            <w:vAlign w:val="center"/>
          </w:tcPr>
          <w:p w:rsidR="001A305E" w:rsidRDefault="00B43DA9">
            <w:pPr>
              <w:jc w:val="center"/>
            </w:pPr>
            <w:r>
              <w:rPr>
                <w:color w:val="000000"/>
                <w:sz w:val="24"/>
                <w:szCs w:val="24"/>
              </w:rPr>
              <w:t>10</w:t>
            </w:r>
          </w:p>
        </w:tc>
        <w:tc>
          <w:tcPr>
            <w:tcW w:w="1334" w:type="dxa"/>
            <w:vAlign w:val="center"/>
          </w:tcPr>
          <w:p w:rsidR="001A305E" w:rsidRDefault="00B43DA9">
            <w:pPr>
              <w:jc w:val="center"/>
            </w:pPr>
            <w:r>
              <w:rPr>
                <w:color w:val="000000"/>
                <w:sz w:val="24"/>
                <w:szCs w:val="24"/>
              </w:rPr>
              <w:t>600887</w:t>
            </w:r>
          </w:p>
        </w:tc>
        <w:tc>
          <w:tcPr>
            <w:tcW w:w="1777" w:type="dxa"/>
            <w:vAlign w:val="center"/>
          </w:tcPr>
          <w:p w:rsidR="001A305E" w:rsidRDefault="00B43DA9">
            <w:pPr>
              <w:jc w:val="center"/>
            </w:pPr>
            <w:r>
              <w:rPr>
                <w:color w:val="000000"/>
                <w:sz w:val="24"/>
                <w:szCs w:val="24"/>
              </w:rPr>
              <w:t>伊利股份</w:t>
            </w:r>
          </w:p>
        </w:tc>
        <w:tc>
          <w:tcPr>
            <w:tcW w:w="1334" w:type="dxa"/>
            <w:vAlign w:val="center"/>
          </w:tcPr>
          <w:p w:rsidR="001A305E" w:rsidRDefault="00B43DA9">
            <w:pPr>
              <w:jc w:val="right"/>
            </w:pPr>
            <w:r>
              <w:rPr>
                <w:color w:val="000000"/>
                <w:sz w:val="24"/>
                <w:szCs w:val="24"/>
              </w:rPr>
              <w:t>483,700</w:t>
            </w:r>
          </w:p>
        </w:tc>
        <w:tc>
          <w:tcPr>
            <w:tcW w:w="1924" w:type="dxa"/>
            <w:vAlign w:val="center"/>
          </w:tcPr>
          <w:p w:rsidR="001A305E" w:rsidRDefault="00B43DA9">
            <w:pPr>
              <w:jc w:val="right"/>
            </w:pPr>
            <w:r>
              <w:rPr>
                <w:color w:val="000000"/>
                <w:sz w:val="24"/>
                <w:szCs w:val="24"/>
              </w:rPr>
              <w:t>13,795,124.00</w:t>
            </w:r>
          </w:p>
        </w:tc>
        <w:tc>
          <w:tcPr>
            <w:tcW w:w="1644" w:type="dxa"/>
            <w:vAlign w:val="center"/>
          </w:tcPr>
          <w:p w:rsidR="001A305E" w:rsidRDefault="00B43DA9">
            <w:pPr>
              <w:jc w:val="right"/>
            </w:pPr>
            <w:r>
              <w:rPr>
                <w:color w:val="000000"/>
                <w:sz w:val="24"/>
                <w:szCs w:val="24"/>
              </w:rPr>
              <w:t>2.77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10,498,950.00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15,032,500.00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15,032,500.00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197,785.80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25,729,235.80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A305E">
        <w:trPr>
          <w:jc w:val="center"/>
        </w:trPr>
        <w:tc>
          <w:tcPr>
            <w:tcW w:w="850" w:type="dxa"/>
            <w:vAlign w:val="center"/>
          </w:tcPr>
          <w:p w:rsidR="001A305E" w:rsidRDefault="00B43DA9">
            <w:pPr>
              <w:jc w:val="center"/>
            </w:pPr>
            <w:r>
              <w:rPr>
                <w:color w:val="000000"/>
                <w:sz w:val="24"/>
                <w:szCs w:val="24"/>
              </w:rPr>
              <w:t>1</w:t>
            </w:r>
          </w:p>
        </w:tc>
        <w:tc>
          <w:tcPr>
            <w:tcW w:w="1475" w:type="dxa"/>
            <w:vAlign w:val="center"/>
          </w:tcPr>
          <w:p w:rsidR="001A305E" w:rsidRDefault="00B43DA9">
            <w:pPr>
              <w:jc w:val="center"/>
            </w:pPr>
            <w:r>
              <w:rPr>
                <w:color w:val="000000"/>
                <w:sz w:val="24"/>
                <w:szCs w:val="24"/>
              </w:rPr>
              <w:t>019611</w:t>
            </w:r>
          </w:p>
        </w:tc>
        <w:tc>
          <w:tcPr>
            <w:tcW w:w="1769" w:type="dxa"/>
            <w:vAlign w:val="center"/>
          </w:tcPr>
          <w:p w:rsidR="001A305E" w:rsidRDefault="00B43DA9">
            <w:pPr>
              <w:jc w:val="center"/>
            </w:pPr>
            <w:r>
              <w:rPr>
                <w:color w:val="000000"/>
                <w:sz w:val="24"/>
                <w:szCs w:val="24"/>
              </w:rPr>
              <w:t>19</w:t>
            </w:r>
            <w:r>
              <w:rPr>
                <w:color w:val="000000"/>
                <w:sz w:val="24"/>
                <w:szCs w:val="24"/>
              </w:rPr>
              <w:t>国债</w:t>
            </w:r>
            <w:r>
              <w:rPr>
                <w:color w:val="000000"/>
                <w:sz w:val="24"/>
                <w:szCs w:val="24"/>
              </w:rPr>
              <w:t>01</w:t>
            </w:r>
          </w:p>
        </w:tc>
        <w:tc>
          <w:tcPr>
            <w:tcW w:w="1387" w:type="dxa"/>
            <w:vAlign w:val="center"/>
          </w:tcPr>
          <w:p w:rsidR="001A305E" w:rsidRDefault="00B43DA9">
            <w:pPr>
              <w:jc w:val="right"/>
            </w:pPr>
            <w:r>
              <w:rPr>
                <w:color w:val="000000"/>
                <w:sz w:val="24"/>
                <w:szCs w:val="24"/>
              </w:rPr>
              <w:t>105,000</w:t>
            </w:r>
          </w:p>
        </w:tc>
        <w:tc>
          <w:tcPr>
            <w:tcW w:w="2150" w:type="dxa"/>
            <w:vAlign w:val="center"/>
          </w:tcPr>
          <w:p w:rsidR="001A305E" w:rsidRDefault="00B43DA9">
            <w:pPr>
              <w:jc w:val="right"/>
            </w:pPr>
            <w:r>
              <w:rPr>
                <w:color w:val="000000"/>
                <w:sz w:val="24"/>
                <w:szCs w:val="24"/>
              </w:rPr>
              <w:t>10,498,950.00</w:t>
            </w:r>
          </w:p>
        </w:tc>
        <w:tc>
          <w:tcPr>
            <w:tcW w:w="1237" w:type="dxa"/>
            <w:vAlign w:val="center"/>
          </w:tcPr>
          <w:p w:rsidR="001A305E" w:rsidRDefault="00B43DA9">
            <w:pPr>
              <w:jc w:val="right"/>
            </w:pPr>
            <w:r>
              <w:rPr>
                <w:color w:val="000000"/>
                <w:sz w:val="24"/>
                <w:szCs w:val="24"/>
              </w:rPr>
              <w:t>2.11</w:t>
            </w:r>
          </w:p>
        </w:tc>
      </w:tr>
      <w:tr w:rsidR="001A305E">
        <w:trPr>
          <w:jc w:val="center"/>
        </w:trPr>
        <w:tc>
          <w:tcPr>
            <w:tcW w:w="850" w:type="dxa"/>
            <w:vAlign w:val="center"/>
          </w:tcPr>
          <w:p w:rsidR="001A305E" w:rsidRDefault="00B43DA9">
            <w:pPr>
              <w:jc w:val="center"/>
            </w:pPr>
            <w:r>
              <w:rPr>
                <w:color w:val="000000"/>
                <w:sz w:val="24"/>
                <w:szCs w:val="24"/>
              </w:rPr>
              <w:t>2</w:t>
            </w:r>
          </w:p>
        </w:tc>
        <w:tc>
          <w:tcPr>
            <w:tcW w:w="1475" w:type="dxa"/>
            <w:vAlign w:val="center"/>
          </w:tcPr>
          <w:p w:rsidR="001A305E" w:rsidRDefault="00B43DA9">
            <w:pPr>
              <w:jc w:val="center"/>
            </w:pPr>
            <w:r>
              <w:rPr>
                <w:color w:val="000000"/>
                <w:sz w:val="24"/>
                <w:szCs w:val="24"/>
              </w:rPr>
              <w:t>190206</w:t>
            </w:r>
          </w:p>
        </w:tc>
        <w:tc>
          <w:tcPr>
            <w:tcW w:w="1769" w:type="dxa"/>
            <w:vAlign w:val="center"/>
          </w:tcPr>
          <w:p w:rsidR="001A305E" w:rsidRDefault="00B43DA9">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1A305E" w:rsidRDefault="00B43DA9">
            <w:pPr>
              <w:jc w:val="right"/>
            </w:pPr>
            <w:r>
              <w:rPr>
                <w:color w:val="000000"/>
                <w:sz w:val="24"/>
                <w:szCs w:val="24"/>
              </w:rPr>
              <w:t>100,000</w:t>
            </w:r>
          </w:p>
        </w:tc>
        <w:tc>
          <w:tcPr>
            <w:tcW w:w="2150" w:type="dxa"/>
            <w:vAlign w:val="center"/>
          </w:tcPr>
          <w:p w:rsidR="001A305E" w:rsidRDefault="00B43DA9">
            <w:pPr>
              <w:jc w:val="right"/>
            </w:pPr>
            <w:r>
              <w:rPr>
                <w:color w:val="000000"/>
                <w:sz w:val="24"/>
                <w:szCs w:val="24"/>
              </w:rPr>
              <w:t>9,997,000.00</w:t>
            </w:r>
          </w:p>
        </w:tc>
        <w:tc>
          <w:tcPr>
            <w:tcW w:w="1237" w:type="dxa"/>
            <w:vAlign w:val="center"/>
          </w:tcPr>
          <w:p w:rsidR="001A305E" w:rsidRDefault="00B43DA9">
            <w:pPr>
              <w:jc w:val="right"/>
            </w:pPr>
            <w:r>
              <w:rPr>
                <w:color w:val="000000"/>
                <w:sz w:val="24"/>
                <w:szCs w:val="24"/>
              </w:rPr>
              <w:t>2.01</w:t>
            </w:r>
          </w:p>
        </w:tc>
      </w:tr>
      <w:tr w:rsidR="001A305E">
        <w:trPr>
          <w:jc w:val="center"/>
        </w:trPr>
        <w:tc>
          <w:tcPr>
            <w:tcW w:w="850" w:type="dxa"/>
            <w:vAlign w:val="center"/>
          </w:tcPr>
          <w:p w:rsidR="001A305E" w:rsidRDefault="00B43DA9">
            <w:pPr>
              <w:jc w:val="center"/>
            </w:pPr>
            <w:r>
              <w:rPr>
                <w:color w:val="000000"/>
                <w:sz w:val="24"/>
                <w:szCs w:val="24"/>
              </w:rPr>
              <w:t>3</w:t>
            </w:r>
          </w:p>
        </w:tc>
        <w:tc>
          <w:tcPr>
            <w:tcW w:w="1475" w:type="dxa"/>
            <w:vAlign w:val="center"/>
          </w:tcPr>
          <w:p w:rsidR="001A305E" w:rsidRDefault="00B43DA9">
            <w:pPr>
              <w:jc w:val="center"/>
            </w:pPr>
            <w:r>
              <w:rPr>
                <w:color w:val="000000"/>
                <w:sz w:val="24"/>
                <w:szCs w:val="24"/>
              </w:rPr>
              <w:t>108602</w:t>
            </w:r>
          </w:p>
        </w:tc>
        <w:tc>
          <w:tcPr>
            <w:tcW w:w="1769" w:type="dxa"/>
            <w:vAlign w:val="center"/>
          </w:tcPr>
          <w:p w:rsidR="001A305E" w:rsidRDefault="00B43DA9">
            <w:pPr>
              <w:jc w:val="center"/>
            </w:pPr>
            <w:r>
              <w:rPr>
                <w:color w:val="000000"/>
                <w:sz w:val="24"/>
                <w:szCs w:val="24"/>
              </w:rPr>
              <w:t>国开</w:t>
            </w:r>
            <w:r>
              <w:rPr>
                <w:color w:val="000000"/>
                <w:sz w:val="24"/>
                <w:szCs w:val="24"/>
              </w:rPr>
              <w:t>1704</w:t>
            </w:r>
          </w:p>
        </w:tc>
        <w:tc>
          <w:tcPr>
            <w:tcW w:w="1387" w:type="dxa"/>
            <w:vAlign w:val="center"/>
          </w:tcPr>
          <w:p w:rsidR="001A305E" w:rsidRDefault="00B43DA9">
            <w:pPr>
              <w:jc w:val="right"/>
            </w:pPr>
            <w:r>
              <w:rPr>
                <w:color w:val="000000"/>
                <w:sz w:val="24"/>
                <w:szCs w:val="24"/>
              </w:rPr>
              <w:t>50,000</w:t>
            </w:r>
          </w:p>
        </w:tc>
        <w:tc>
          <w:tcPr>
            <w:tcW w:w="2150" w:type="dxa"/>
            <w:vAlign w:val="center"/>
          </w:tcPr>
          <w:p w:rsidR="001A305E" w:rsidRDefault="00B43DA9">
            <w:pPr>
              <w:jc w:val="right"/>
            </w:pPr>
            <w:r>
              <w:rPr>
                <w:color w:val="000000"/>
                <w:sz w:val="24"/>
                <w:szCs w:val="24"/>
              </w:rPr>
              <w:t>5,035,500.00</w:t>
            </w:r>
          </w:p>
        </w:tc>
        <w:tc>
          <w:tcPr>
            <w:tcW w:w="1237" w:type="dxa"/>
            <w:vAlign w:val="center"/>
          </w:tcPr>
          <w:p w:rsidR="001A305E" w:rsidRDefault="00B43DA9">
            <w:pPr>
              <w:jc w:val="right"/>
            </w:pPr>
            <w:r>
              <w:rPr>
                <w:color w:val="000000"/>
                <w:sz w:val="24"/>
                <w:szCs w:val="24"/>
              </w:rPr>
              <w:t>1.01</w:t>
            </w:r>
          </w:p>
        </w:tc>
      </w:tr>
      <w:tr w:rsidR="001A305E">
        <w:trPr>
          <w:jc w:val="center"/>
        </w:trPr>
        <w:tc>
          <w:tcPr>
            <w:tcW w:w="850" w:type="dxa"/>
            <w:vAlign w:val="center"/>
          </w:tcPr>
          <w:p w:rsidR="001A305E" w:rsidRDefault="00B43DA9">
            <w:pPr>
              <w:jc w:val="center"/>
            </w:pPr>
            <w:r>
              <w:rPr>
                <w:color w:val="000000"/>
                <w:sz w:val="24"/>
                <w:szCs w:val="24"/>
              </w:rPr>
              <w:t>4</w:t>
            </w:r>
          </w:p>
        </w:tc>
        <w:tc>
          <w:tcPr>
            <w:tcW w:w="1475" w:type="dxa"/>
            <w:vAlign w:val="center"/>
          </w:tcPr>
          <w:p w:rsidR="001A305E" w:rsidRDefault="00B43DA9">
            <w:pPr>
              <w:jc w:val="center"/>
            </w:pPr>
            <w:r>
              <w:rPr>
                <w:color w:val="000000"/>
                <w:sz w:val="24"/>
                <w:szCs w:val="24"/>
              </w:rPr>
              <w:t>113517</w:t>
            </w:r>
          </w:p>
        </w:tc>
        <w:tc>
          <w:tcPr>
            <w:tcW w:w="1769" w:type="dxa"/>
            <w:vAlign w:val="center"/>
          </w:tcPr>
          <w:p w:rsidR="001A305E" w:rsidRDefault="00B43DA9">
            <w:pPr>
              <w:jc w:val="center"/>
            </w:pPr>
            <w:r>
              <w:rPr>
                <w:color w:val="000000"/>
                <w:sz w:val="24"/>
                <w:szCs w:val="24"/>
              </w:rPr>
              <w:t>曙光转债</w:t>
            </w:r>
          </w:p>
        </w:tc>
        <w:tc>
          <w:tcPr>
            <w:tcW w:w="1387" w:type="dxa"/>
            <w:vAlign w:val="center"/>
          </w:tcPr>
          <w:p w:rsidR="001A305E" w:rsidRDefault="00B43DA9">
            <w:pPr>
              <w:jc w:val="right"/>
            </w:pPr>
            <w:r>
              <w:rPr>
                <w:color w:val="000000"/>
                <w:sz w:val="24"/>
                <w:szCs w:val="24"/>
              </w:rPr>
              <w:t>1,740</w:t>
            </w:r>
          </w:p>
        </w:tc>
        <w:tc>
          <w:tcPr>
            <w:tcW w:w="2150" w:type="dxa"/>
            <w:vAlign w:val="center"/>
          </w:tcPr>
          <w:p w:rsidR="001A305E" w:rsidRDefault="00B43DA9">
            <w:pPr>
              <w:jc w:val="right"/>
            </w:pPr>
            <w:r>
              <w:rPr>
                <w:color w:val="000000"/>
                <w:sz w:val="24"/>
                <w:szCs w:val="24"/>
              </w:rPr>
              <w:t>197,785.80</w:t>
            </w:r>
          </w:p>
        </w:tc>
        <w:tc>
          <w:tcPr>
            <w:tcW w:w="1237" w:type="dxa"/>
            <w:vAlign w:val="center"/>
          </w:tcPr>
          <w:p w:rsidR="001A305E" w:rsidRDefault="00B43DA9">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B43DA9" w:rsidRPr="00414345" w:rsidTr="00AB4DB6">
        <w:trPr>
          <w:trHeight w:val="105"/>
          <w:jc w:val="center"/>
        </w:trPr>
        <w:tc>
          <w:tcPr>
            <w:tcW w:w="1422" w:type="dxa"/>
            <w:vAlign w:val="center"/>
          </w:tcPr>
          <w:p w:rsidR="00B43DA9" w:rsidRPr="00414345" w:rsidRDefault="00B43DA9"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B43DA9" w:rsidRPr="00414345" w:rsidRDefault="00B43DA9"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B43DA9" w:rsidRPr="00414345" w:rsidRDefault="00B43DA9"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B43DA9" w:rsidRPr="00414345" w:rsidRDefault="00B43DA9"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B43DA9" w:rsidRPr="00414345" w:rsidRDefault="00B43DA9"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B43DA9" w:rsidRPr="00414345" w:rsidRDefault="00B43DA9"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bookmarkStart w:id="0" w:name="_GoBack"/>
            <w:bookmarkEnd w:id="0"/>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-468,520.00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203,054.26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590,480.11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381,055.98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50,217.75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1,224,808.10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1A305E">
        <w:trPr>
          <w:jc w:val="center"/>
        </w:trPr>
        <w:tc>
          <w:tcPr>
            <w:tcW w:w="1883" w:type="dxa"/>
            <w:vAlign w:val="center"/>
          </w:tcPr>
          <w:p w:rsidR="001A305E" w:rsidRDefault="00B43DA9">
            <w:pPr>
              <w:jc w:val="center"/>
            </w:pPr>
            <w:r>
              <w:rPr>
                <w:color w:val="000000"/>
                <w:sz w:val="24"/>
                <w:szCs w:val="24"/>
              </w:rPr>
              <w:t>1</w:t>
            </w:r>
          </w:p>
        </w:tc>
        <w:tc>
          <w:tcPr>
            <w:tcW w:w="1801" w:type="dxa"/>
            <w:vAlign w:val="center"/>
          </w:tcPr>
          <w:p w:rsidR="001A305E" w:rsidRDefault="00B43DA9">
            <w:pPr>
              <w:jc w:val="center"/>
            </w:pPr>
            <w:r>
              <w:rPr>
                <w:color w:val="000000"/>
                <w:sz w:val="24"/>
                <w:szCs w:val="24"/>
              </w:rPr>
              <w:t>113517</w:t>
            </w:r>
          </w:p>
        </w:tc>
        <w:tc>
          <w:tcPr>
            <w:tcW w:w="1727" w:type="dxa"/>
            <w:vAlign w:val="center"/>
          </w:tcPr>
          <w:p w:rsidR="001A305E" w:rsidRDefault="00B43DA9">
            <w:pPr>
              <w:jc w:val="center"/>
            </w:pPr>
            <w:r>
              <w:rPr>
                <w:color w:val="000000"/>
                <w:sz w:val="24"/>
                <w:szCs w:val="24"/>
              </w:rPr>
              <w:t>曙光转债</w:t>
            </w:r>
          </w:p>
        </w:tc>
        <w:tc>
          <w:tcPr>
            <w:tcW w:w="1768" w:type="dxa"/>
            <w:vAlign w:val="center"/>
          </w:tcPr>
          <w:p w:rsidR="001A305E" w:rsidRDefault="00B43DA9">
            <w:pPr>
              <w:jc w:val="right"/>
            </w:pPr>
            <w:r>
              <w:rPr>
                <w:color w:val="000000"/>
                <w:sz w:val="24"/>
                <w:szCs w:val="24"/>
              </w:rPr>
              <w:t>197,785.80</w:t>
            </w:r>
          </w:p>
        </w:tc>
        <w:tc>
          <w:tcPr>
            <w:tcW w:w="1689" w:type="dxa"/>
            <w:vAlign w:val="center"/>
          </w:tcPr>
          <w:p w:rsidR="001A305E" w:rsidRDefault="00B43DA9">
            <w:pPr>
              <w:jc w:val="right"/>
            </w:pPr>
            <w:r>
              <w:rPr>
                <w:color w:val="000000"/>
                <w:sz w:val="24"/>
                <w:szCs w:val="24"/>
              </w:rPr>
              <w:t>0.04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550,237,313.44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3,552,862.97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64,203,615.97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489,586,560.44</w:t>
            </w:r>
          </w:p>
        </w:tc>
      </w:tr>
    </w:tbl>
    <w:p w:rsidR="001A305E" w:rsidRDefault="00B43DA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A305E" w:rsidRDefault="00B43DA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1A305E" w:rsidRDefault="00B43DA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1A305E" w:rsidRDefault="00B43DA9">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A305E" w:rsidRDefault="00B43DA9">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A305E" w:rsidRDefault="00B43DA9">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A305E" w:rsidRDefault="00B43DA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43DA9">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43DA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交银施罗德国企改革灵活配置混合型证券投资基金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305E"/>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3DA9"/>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642C-F450-443C-8CD8-867FC1A5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12</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598</cp:revision>
  <dcterms:created xsi:type="dcterms:W3CDTF">2012-10-16T06:07:00Z</dcterms:created>
  <dcterms:modified xsi:type="dcterms:W3CDTF">2019-10-14T14:42:00Z</dcterms:modified>
</cp:coreProperties>
</file>