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3,539,654,246.74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3,539,654,246.74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33,636,242.16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34,635,590.28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3,610,354,490.75</w:t>
            </w:r>
          </w:p>
        </w:tc>
        <w:tc>
          <w:tcPr>
            <w:tcW w:w="2481" w:type="dxa"/>
            <w:vAlign w:val="center"/>
          </w:tcPr>
          <w:p w:rsidR="005F293E" w:rsidRPr="007F52FA" w:rsidRDefault="00F941EC"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C704D8" w:rsidRDefault="00F941E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C704D8" w:rsidRDefault="00F941E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704D8">
        <w:trPr>
          <w:jc w:val="center"/>
        </w:trPr>
        <w:tc>
          <w:tcPr>
            <w:tcW w:w="1266" w:type="dxa"/>
            <w:vAlign w:val="center"/>
          </w:tcPr>
          <w:p w:rsidR="00C704D8" w:rsidRDefault="00F941EC">
            <w:pPr>
              <w:jc w:val="left"/>
            </w:pPr>
            <w:r>
              <w:rPr>
                <w:color w:val="000000"/>
                <w:sz w:val="24"/>
              </w:rPr>
              <w:t>过去三个月</w:t>
            </w:r>
          </w:p>
        </w:tc>
        <w:tc>
          <w:tcPr>
            <w:tcW w:w="1267" w:type="dxa"/>
            <w:vAlign w:val="center"/>
          </w:tcPr>
          <w:p w:rsidR="00C704D8" w:rsidRDefault="00F941EC">
            <w:pPr>
              <w:jc w:val="center"/>
            </w:pPr>
            <w:r>
              <w:rPr>
                <w:color w:val="000000"/>
                <w:sz w:val="24"/>
              </w:rPr>
              <w:t>0.99%</w:t>
            </w:r>
          </w:p>
        </w:tc>
        <w:tc>
          <w:tcPr>
            <w:tcW w:w="1267" w:type="dxa"/>
            <w:vAlign w:val="center"/>
          </w:tcPr>
          <w:p w:rsidR="00C704D8" w:rsidRDefault="00F941EC">
            <w:pPr>
              <w:jc w:val="center"/>
            </w:pPr>
            <w:r>
              <w:rPr>
                <w:color w:val="000000"/>
                <w:sz w:val="24"/>
              </w:rPr>
              <w:t>0.03%</w:t>
            </w:r>
          </w:p>
        </w:tc>
        <w:tc>
          <w:tcPr>
            <w:tcW w:w="1267" w:type="dxa"/>
            <w:vAlign w:val="center"/>
          </w:tcPr>
          <w:p w:rsidR="00C704D8" w:rsidRDefault="00F941EC">
            <w:pPr>
              <w:jc w:val="center"/>
            </w:pPr>
            <w:r>
              <w:rPr>
                <w:color w:val="000000"/>
                <w:sz w:val="24"/>
              </w:rPr>
              <w:t>0.45%</w:t>
            </w:r>
          </w:p>
        </w:tc>
        <w:tc>
          <w:tcPr>
            <w:tcW w:w="1267" w:type="dxa"/>
            <w:vAlign w:val="center"/>
          </w:tcPr>
          <w:p w:rsidR="00C704D8" w:rsidRDefault="00F941EC">
            <w:pPr>
              <w:jc w:val="center"/>
            </w:pPr>
            <w:r>
              <w:rPr>
                <w:color w:val="000000"/>
                <w:sz w:val="24"/>
              </w:rPr>
              <w:t>0.04%</w:t>
            </w:r>
          </w:p>
        </w:tc>
        <w:tc>
          <w:tcPr>
            <w:tcW w:w="1267" w:type="dxa"/>
            <w:vAlign w:val="center"/>
          </w:tcPr>
          <w:p w:rsidR="00C704D8" w:rsidRDefault="00F941EC">
            <w:pPr>
              <w:jc w:val="center"/>
            </w:pPr>
            <w:r>
              <w:rPr>
                <w:color w:val="000000"/>
                <w:sz w:val="24"/>
              </w:rPr>
              <w:t>0.54%</w:t>
            </w:r>
          </w:p>
        </w:tc>
        <w:tc>
          <w:tcPr>
            <w:tcW w:w="1267" w:type="dxa"/>
            <w:vAlign w:val="center"/>
          </w:tcPr>
          <w:p w:rsidR="00C704D8" w:rsidRDefault="00F941EC">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704D8">
        <w:trPr>
          <w:jc w:val="center"/>
        </w:trPr>
        <w:tc>
          <w:tcPr>
            <w:tcW w:w="1266" w:type="dxa"/>
            <w:vAlign w:val="center"/>
          </w:tcPr>
          <w:p w:rsidR="00C704D8" w:rsidRDefault="00F941EC">
            <w:pPr>
              <w:jc w:val="left"/>
            </w:pPr>
            <w:r>
              <w:rPr>
                <w:color w:val="000000"/>
                <w:sz w:val="24"/>
              </w:rPr>
              <w:t>过去三个月</w:t>
            </w:r>
          </w:p>
        </w:tc>
        <w:tc>
          <w:tcPr>
            <w:tcW w:w="1267" w:type="dxa"/>
            <w:vAlign w:val="center"/>
          </w:tcPr>
          <w:p w:rsidR="00C704D8" w:rsidRDefault="00F941EC">
            <w:pPr>
              <w:jc w:val="center"/>
            </w:pPr>
            <w:r>
              <w:rPr>
                <w:color w:val="000000"/>
                <w:sz w:val="24"/>
              </w:rPr>
              <w:t>-</w:t>
            </w:r>
          </w:p>
        </w:tc>
        <w:tc>
          <w:tcPr>
            <w:tcW w:w="1267" w:type="dxa"/>
            <w:vAlign w:val="center"/>
          </w:tcPr>
          <w:p w:rsidR="00C704D8" w:rsidRDefault="00F941EC">
            <w:pPr>
              <w:jc w:val="center"/>
            </w:pPr>
            <w:r>
              <w:rPr>
                <w:color w:val="000000"/>
                <w:sz w:val="24"/>
              </w:rPr>
              <w:t>-</w:t>
            </w:r>
          </w:p>
        </w:tc>
        <w:tc>
          <w:tcPr>
            <w:tcW w:w="1267" w:type="dxa"/>
            <w:vAlign w:val="center"/>
          </w:tcPr>
          <w:p w:rsidR="00C704D8" w:rsidRDefault="00F941EC">
            <w:pPr>
              <w:jc w:val="center"/>
            </w:pPr>
            <w:r>
              <w:rPr>
                <w:color w:val="000000"/>
                <w:sz w:val="24"/>
              </w:rPr>
              <w:t>-</w:t>
            </w:r>
          </w:p>
        </w:tc>
        <w:tc>
          <w:tcPr>
            <w:tcW w:w="1267" w:type="dxa"/>
            <w:vAlign w:val="center"/>
          </w:tcPr>
          <w:p w:rsidR="00C704D8" w:rsidRDefault="00F941EC">
            <w:pPr>
              <w:jc w:val="center"/>
            </w:pPr>
            <w:r>
              <w:rPr>
                <w:color w:val="000000"/>
                <w:sz w:val="24"/>
              </w:rPr>
              <w:t>-</w:t>
            </w:r>
          </w:p>
        </w:tc>
        <w:tc>
          <w:tcPr>
            <w:tcW w:w="1267" w:type="dxa"/>
            <w:vAlign w:val="center"/>
          </w:tcPr>
          <w:p w:rsidR="00C704D8" w:rsidRDefault="00F941EC">
            <w:pPr>
              <w:jc w:val="center"/>
            </w:pPr>
            <w:r>
              <w:rPr>
                <w:color w:val="000000"/>
                <w:sz w:val="24"/>
              </w:rPr>
              <w:t>-</w:t>
            </w:r>
          </w:p>
        </w:tc>
        <w:tc>
          <w:tcPr>
            <w:tcW w:w="1267" w:type="dxa"/>
            <w:vAlign w:val="center"/>
          </w:tcPr>
          <w:p w:rsidR="00C704D8" w:rsidRDefault="00F941EC">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日，截至报告期期末，本基金已完成</w:t>
      </w:r>
      <w:r w:rsidRPr="007F52FA">
        <w:rPr>
          <w:color w:val="000000"/>
          <w:sz w:val="24"/>
        </w:rPr>
        <w:lastRenderedPageBreak/>
        <w:t>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D12D04" w:rsidRPr="00F941EC" w:rsidRDefault="009238DB" w:rsidP="00F941EC">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bookmarkStart w:id="0" w:name="_GoBack"/>
      <w:bookmarkEnd w:id="0"/>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704D8">
        <w:trPr>
          <w:jc w:val="center"/>
        </w:trPr>
        <w:tc>
          <w:tcPr>
            <w:tcW w:w="946" w:type="dxa"/>
            <w:vAlign w:val="center"/>
          </w:tcPr>
          <w:p w:rsidR="00C704D8" w:rsidRDefault="00F941EC">
            <w:pPr>
              <w:jc w:val="center"/>
            </w:pPr>
            <w:r>
              <w:rPr>
                <w:color w:val="000000"/>
                <w:sz w:val="24"/>
              </w:rPr>
              <w:t>李娜</w:t>
            </w:r>
          </w:p>
        </w:tc>
        <w:tc>
          <w:tcPr>
            <w:tcW w:w="924" w:type="dxa"/>
            <w:vAlign w:val="center"/>
          </w:tcPr>
          <w:p w:rsidR="00C704D8" w:rsidRDefault="00F941EC">
            <w:pPr>
              <w:jc w:val="center"/>
            </w:pPr>
            <w:r>
              <w:rPr>
                <w:color w:val="000000"/>
                <w:sz w:val="24"/>
              </w:rPr>
              <w:t>交银周期回报灵活配置混合、交银新回报灵活配置混合、交银多策略回报灵活配置混合、交银优选回报灵活配置</w:t>
            </w:r>
            <w:r>
              <w:rPr>
                <w:color w:val="000000"/>
                <w:sz w:val="24"/>
              </w:rPr>
              <w:lastRenderedPageBreak/>
              <w:t>混合、交银优择回报灵活配置混合、交银瑞鑫定期开放灵活配置混合、交银裕祥纯债债券、交银恒益灵活配置混合的基金经理</w:t>
            </w:r>
          </w:p>
        </w:tc>
        <w:tc>
          <w:tcPr>
            <w:tcW w:w="1202" w:type="dxa"/>
            <w:vAlign w:val="center"/>
          </w:tcPr>
          <w:p w:rsidR="00C704D8" w:rsidRDefault="00F941EC">
            <w:pPr>
              <w:jc w:val="center"/>
            </w:pPr>
            <w:r>
              <w:rPr>
                <w:color w:val="000000"/>
                <w:sz w:val="24"/>
              </w:rPr>
              <w:lastRenderedPageBreak/>
              <w:t>2018-09-26</w:t>
            </w:r>
          </w:p>
        </w:tc>
        <w:tc>
          <w:tcPr>
            <w:tcW w:w="1300" w:type="dxa"/>
            <w:vAlign w:val="center"/>
          </w:tcPr>
          <w:p w:rsidR="00C704D8" w:rsidRDefault="00F941EC">
            <w:pPr>
              <w:jc w:val="center"/>
            </w:pPr>
            <w:r>
              <w:rPr>
                <w:color w:val="000000"/>
                <w:sz w:val="24"/>
              </w:rPr>
              <w:t>-</w:t>
            </w:r>
          </w:p>
        </w:tc>
        <w:tc>
          <w:tcPr>
            <w:tcW w:w="1245" w:type="dxa"/>
            <w:vAlign w:val="center"/>
          </w:tcPr>
          <w:p w:rsidR="00C704D8" w:rsidRDefault="00F941EC">
            <w:pPr>
              <w:jc w:val="center"/>
            </w:pPr>
            <w:r>
              <w:rPr>
                <w:color w:val="000000"/>
                <w:sz w:val="24"/>
              </w:rPr>
              <w:t>9</w:t>
            </w:r>
            <w:r>
              <w:rPr>
                <w:color w:val="000000"/>
                <w:sz w:val="24"/>
              </w:rPr>
              <w:t>年</w:t>
            </w:r>
          </w:p>
        </w:tc>
        <w:tc>
          <w:tcPr>
            <w:tcW w:w="3251" w:type="dxa"/>
            <w:vAlign w:val="center"/>
          </w:tcPr>
          <w:p w:rsidR="00C704D8" w:rsidRDefault="00F941E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w:t>
            </w:r>
            <w:r>
              <w:rPr>
                <w:color w:val="000000"/>
                <w:sz w:val="24"/>
              </w:rPr>
              <w:lastRenderedPageBreak/>
              <w:t>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C704D8">
        <w:trPr>
          <w:jc w:val="center"/>
        </w:trPr>
        <w:tc>
          <w:tcPr>
            <w:tcW w:w="946" w:type="dxa"/>
            <w:vAlign w:val="center"/>
          </w:tcPr>
          <w:p w:rsidR="00C704D8" w:rsidRDefault="00F941EC">
            <w:pPr>
              <w:jc w:val="center"/>
            </w:pPr>
            <w:r>
              <w:rPr>
                <w:color w:val="000000"/>
                <w:sz w:val="24"/>
              </w:rPr>
              <w:lastRenderedPageBreak/>
              <w:t>凌超</w:t>
            </w:r>
          </w:p>
        </w:tc>
        <w:tc>
          <w:tcPr>
            <w:tcW w:w="924" w:type="dxa"/>
            <w:vAlign w:val="center"/>
          </w:tcPr>
          <w:p w:rsidR="00C704D8" w:rsidRDefault="00F941EC">
            <w:pPr>
              <w:jc w:val="center"/>
            </w:pPr>
            <w:r>
              <w:rPr>
                <w:color w:val="000000"/>
                <w:sz w:val="24"/>
              </w:rPr>
              <w:t>交银定期支付月月丰债券、交银增强收益债券、交银强化回报债券、交银周期回报灵</w:t>
            </w:r>
            <w:r>
              <w:rPr>
                <w:color w:val="000000"/>
                <w:sz w:val="24"/>
              </w:rPr>
              <w:lastRenderedPageBreak/>
              <w:t>活配置混合、交银新回报灵活配置混合、交银多策略回报灵活配置混合、交银优选回报灵活配置混合、交银优择回报灵活配置混合、交银瑞鑫定期开放灵活配置混合、交银增利增强债券、交银恒益灵活配置混合、交银裕</w:t>
            </w:r>
            <w:r>
              <w:rPr>
                <w:color w:val="000000"/>
                <w:sz w:val="24"/>
              </w:rPr>
              <w:lastRenderedPageBreak/>
              <w:t>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C704D8" w:rsidRDefault="00F941EC">
            <w:pPr>
              <w:jc w:val="center"/>
            </w:pPr>
            <w:r>
              <w:rPr>
                <w:color w:val="000000"/>
                <w:sz w:val="24"/>
              </w:rPr>
              <w:lastRenderedPageBreak/>
              <w:t>2019-07-20</w:t>
            </w:r>
          </w:p>
        </w:tc>
        <w:tc>
          <w:tcPr>
            <w:tcW w:w="1300" w:type="dxa"/>
            <w:vAlign w:val="center"/>
          </w:tcPr>
          <w:p w:rsidR="00C704D8" w:rsidRDefault="00F941EC">
            <w:pPr>
              <w:jc w:val="center"/>
            </w:pPr>
            <w:r>
              <w:rPr>
                <w:color w:val="000000"/>
                <w:sz w:val="24"/>
              </w:rPr>
              <w:t>-</w:t>
            </w:r>
          </w:p>
        </w:tc>
        <w:tc>
          <w:tcPr>
            <w:tcW w:w="1245" w:type="dxa"/>
            <w:vAlign w:val="center"/>
          </w:tcPr>
          <w:p w:rsidR="00C704D8" w:rsidRDefault="00F941EC">
            <w:pPr>
              <w:jc w:val="center"/>
            </w:pPr>
            <w:r>
              <w:rPr>
                <w:color w:val="000000"/>
                <w:sz w:val="24"/>
              </w:rPr>
              <w:t>13</w:t>
            </w:r>
            <w:r>
              <w:rPr>
                <w:color w:val="000000"/>
                <w:sz w:val="24"/>
              </w:rPr>
              <w:t>年</w:t>
            </w:r>
          </w:p>
        </w:tc>
        <w:tc>
          <w:tcPr>
            <w:tcW w:w="3251" w:type="dxa"/>
            <w:vAlign w:val="center"/>
          </w:tcPr>
          <w:p w:rsidR="00C704D8" w:rsidRDefault="00F941E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w:t>
            </w:r>
            <w:r>
              <w:rPr>
                <w:color w:val="000000"/>
                <w:sz w:val="24"/>
              </w:rPr>
              <w:t>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w:t>
            </w:r>
            <w:r>
              <w:rPr>
                <w:color w:val="000000"/>
                <w:sz w:val="24"/>
              </w:rPr>
              <w:lastRenderedPageBreak/>
              <w:t>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w:t>
            </w:r>
            <w:r>
              <w:rPr>
                <w:color w:val="000000"/>
                <w:sz w:val="24"/>
              </w:rPr>
              <w:t>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704D8" w:rsidRDefault="00F941E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704D8" w:rsidRDefault="00F941E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C704D8" w:rsidRDefault="00F941E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704D8" w:rsidRDefault="00F941EC">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w:t>
      </w:r>
      <w:r>
        <w:rPr>
          <w:color w:val="000000"/>
          <w:sz w:val="24"/>
        </w:rPr>
        <w:t>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C704D8" w:rsidRDefault="00F941EC">
      <w:pPr>
        <w:spacing w:before="29" w:line="288" w:lineRule="auto"/>
        <w:ind w:firstLineChars="200" w:firstLine="480"/>
        <w:rPr>
          <w:color w:val="000000"/>
          <w:sz w:val="24"/>
        </w:rPr>
      </w:pPr>
      <w:r>
        <w:rPr>
          <w:color w:val="000000"/>
          <w:sz w:val="24"/>
        </w:rPr>
        <w:t>我们认为，三季度在经济下行压力下，债市存在配置机会，因此在季度初期的基金操作中，根据申赎及债市收益率变化积极增加底仓久期，底仓品种以中短久期利率债为主。八月中后期，由于融资成本有所抬升，基金适当降低杠杆，卖出部分短久期收益率偏低品种。</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利率债品种，并积极关注长端利率的波段交易机会，以提升基金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4,309,133,000.00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4,309,133,000.00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2,514,381.18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77,320,070.55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4,388,967,451.73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4,309,133,000.00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4,309,133,000.00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4,309,133,000.00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704D8">
        <w:trPr>
          <w:jc w:val="center"/>
        </w:trPr>
        <w:tc>
          <w:tcPr>
            <w:tcW w:w="1075" w:type="dxa"/>
            <w:vAlign w:val="center"/>
          </w:tcPr>
          <w:p w:rsidR="00C704D8" w:rsidRDefault="00F941EC">
            <w:pPr>
              <w:jc w:val="center"/>
            </w:pPr>
            <w:r>
              <w:rPr>
                <w:color w:val="000000"/>
                <w:sz w:val="24"/>
              </w:rPr>
              <w:t>1</w:t>
            </w:r>
          </w:p>
        </w:tc>
        <w:tc>
          <w:tcPr>
            <w:tcW w:w="1533" w:type="dxa"/>
            <w:vAlign w:val="center"/>
          </w:tcPr>
          <w:p w:rsidR="00C704D8" w:rsidRDefault="00F941EC">
            <w:pPr>
              <w:jc w:val="center"/>
            </w:pPr>
            <w:r>
              <w:rPr>
                <w:color w:val="000000"/>
                <w:sz w:val="24"/>
              </w:rPr>
              <w:t>180208</w:t>
            </w:r>
          </w:p>
        </w:tc>
        <w:tc>
          <w:tcPr>
            <w:tcW w:w="1533" w:type="dxa"/>
            <w:vAlign w:val="center"/>
          </w:tcPr>
          <w:p w:rsidR="00C704D8" w:rsidRDefault="00F941EC">
            <w:pPr>
              <w:jc w:val="center"/>
            </w:pPr>
            <w:r>
              <w:rPr>
                <w:color w:val="000000"/>
                <w:sz w:val="24"/>
              </w:rPr>
              <w:t>18</w:t>
            </w:r>
            <w:r>
              <w:rPr>
                <w:color w:val="000000"/>
                <w:sz w:val="24"/>
              </w:rPr>
              <w:t>国开</w:t>
            </w:r>
            <w:r>
              <w:rPr>
                <w:color w:val="000000"/>
                <w:sz w:val="24"/>
              </w:rPr>
              <w:t>08</w:t>
            </w:r>
          </w:p>
        </w:tc>
        <w:tc>
          <w:tcPr>
            <w:tcW w:w="1394" w:type="dxa"/>
            <w:vAlign w:val="center"/>
          </w:tcPr>
          <w:p w:rsidR="00C704D8" w:rsidRDefault="00F941EC">
            <w:pPr>
              <w:jc w:val="right"/>
            </w:pPr>
            <w:r>
              <w:rPr>
                <w:color w:val="000000"/>
                <w:sz w:val="24"/>
              </w:rPr>
              <w:t>12,800,000</w:t>
            </w:r>
          </w:p>
        </w:tc>
        <w:tc>
          <w:tcPr>
            <w:tcW w:w="1944" w:type="dxa"/>
            <w:vAlign w:val="center"/>
          </w:tcPr>
          <w:p w:rsidR="00C704D8" w:rsidRDefault="00F941EC">
            <w:pPr>
              <w:jc w:val="right"/>
            </w:pPr>
            <w:r>
              <w:rPr>
                <w:color w:val="000000"/>
                <w:sz w:val="24"/>
              </w:rPr>
              <w:t>1,302,144,000.00</w:t>
            </w:r>
          </w:p>
        </w:tc>
        <w:tc>
          <w:tcPr>
            <w:tcW w:w="1389" w:type="dxa"/>
            <w:vAlign w:val="center"/>
          </w:tcPr>
          <w:p w:rsidR="00C704D8" w:rsidRDefault="00F941EC">
            <w:pPr>
              <w:jc w:val="right"/>
            </w:pPr>
            <w:r>
              <w:rPr>
                <w:color w:val="000000"/>
                <w:sz w:val="24"/>
              </w:rPr>
              <w:t>36.07</w:t>
            </w:r>
          </w:p>
        </w:tc>
      </w:tr>
      <w:tr w:rsidR="00C704D8">
        <w:trPr>
          <w:jc w:val="center"/>
        </w:trPr>
        <w:tc>
          <w:tcPr>
            <w:tcW w:w="1075" w:type="dxa"/>
            <w:vAlign w:val="center"/>
          </w:tcPr>
          <w:p w:rsidR="00C704D8" w:rsidRDefault="00F941EC">
            <w:pPr>
              <w:jc w:val="center"/>
            </w:pPr>
            <w:r>
              <w:rPr>
                <w:color w:val="000000"/>
                <w:sz w:val="24"/>
              </w:rPr>
              <w:t>2</w:t>
            </w:r>
          </w:p>
        </w:tc>
        <w:tc>
          <w:tcPr>
            <w:tcW w:w="1533" w:type="dxa"/>
            <w:vAlign w:val="center"/>
          </w:tcPr>
          <w:p w:rsidR="00C704D8" w:rsidRDefault="00F941EC">
            <w:pPr>
              <w:jc w:val="center"/>
            </w:pPr>
            <w:r>
              <w:rPr>
                <w:color w:val="000000"/>
                <w:sz w:val="24"/>
              </w:rPr>
              <w:t>180203</w:t>
            </w:r>
          </w:p>
        </w:tc>
        <w:tc>
          <w:tcPr>
            <w:tcW w:w="1533" w:type="dxa"/>
            <w:vAlign w:val="center"/>
          </w:tcPr>
          <w:p w:rsidR="00C704D8" w:rsidRDefault="00F941EC">
            <w:pPr>
              <w:jc w:val="center"/>
            </w:pPr>
            <w:r>
              <w:rPr>
                <w:color w:val="000000"/>
                <w:sz w:val="24"/>
              </w:rPr>
              <w:t>18</w:t>
            </w:r>
            <w:r>
              <w:rPr>
                <w:color w:val="000000"/>
                <w:sz w:val="24"/>
              </w:rPr>
              <w:t>国开</w:t>
            </w:r>
            <w:r>
              <w:rPr>
                <w:color w:val="000000"/>
                <w:sz w:val="24"/>
              </w:rPr>
              <w:t>03</w:t>
            </w:r>
          </w:p>
        </w:tc>
        <w:tc>
          <w:tcPr>
            <w:tcW w:w="1394" w:type="dxa"/>
            <w:vAlign w:val="center"/>
          </w:tcPr>
          <w:p w:rsidR="00C704D8" w:rsidRDefault="00F941EC">
            <w:pPr>
              <w:jc w:val="right"/>
            </w:pPr>
            <w:r>
              <w:rPr>
                <w:color w:val="000000"/>
                <w:sz w:val="24"/>
              </w:rPr>
              <w:t>8,900,000</w:t>
            </w:r>
          </w:p>
        </w:tc>
        <w:tc>
          <w:tcPr>
            <w:tcW w:w="1944" w:type="dxa"/>
            <w:vAlign w:val="center"/>
          </w:tcPr>
          <w:p w:rsidR="00C704D8" w:rsidRDefault="00F941EC">
            <w:pPr>
              <w:jc w:val="right"/>
            </w:pPr>
            <w:r>
              <w:rPr>
                <w:color w:val="000000"/>
                <w:sz w:val="24"/>
              </w:rPr>
              <w:t>911,716,000.00</w:t>
            </w:r>
          </w:p>
        </w:tc>
        <w:tc>
          <w:tcPr>
            <w:tcW w:w="1389" w:type="dxa"/>
            <w:vAlign w:val="center"/>
          </w:tcPr>
          <w:p w:rsidR="00C704D8" w:rsidRDefault="00F941EC">
            <w:pPr>
              <w:jc w:val="right"/>
            </w:pPr>
            <w:r>
              <w:rPr>
                <w:color w:val="000000"/>
                <w:sz w:val="24"/>
              </w:rPr>
              <w:t>25.25</w:t>
            </w:r>
          </w:p>
        </w:tc>
      </w:tr>
      <w:tr w:rsidR="00C704D8">
        <w:trPr>
          <w:jc w:val="center"/>
        </w:trPr>
        <w:tc>
          <w:tcPr>
            <w:tcW w:w="1075" w:type="dxa"/>
            <w:vAlign w:val="center"/>
          </w:tcPr>
          <w:p w:rsidR="00C704D8" w:rsidRDefault="00F941EC">
            <w:pPr>
              <w:jc w:val="center"/>
            </w:pPr>
            <w:r>
              <w:rPr>
                <w:color w:val="000000"/>
                <w:sz w:val="24"/>
              </w:rPr>
              <w:t>3</w:t>
            </w:r>
          </w:p>
        </w:tc>
        <w:tc>
          <w:tcPr>
            <w:tcW w:w="1533" w:type="dxa"/>
            <w:vAlign w:val="center"/>
          </w:tcPr>
          <w:p w:rsidR="00C704D8" w:rsidRDefault="00F941EC">
            <w:pPr>
              <w:jc w:val="center"/>
            </w:pPr>
            <w:r>
              <w:rPr>
                <w:color w:val="000000"/>
                <w:sz w:val="24"/>
              </w:rPr>
              <w:t>180211</w:t>
            </w:r>
          </w:p>
        </w:tc>
        <w:tc>
          <w:tcPr>
            <w:tcW w:w="1533" w:type="dxa"/>
            <w:vAlign w:val="center"/>
          </w:tcPr>
          <w:p w:rsidR="00C704D8" w:rsidRDefault="00F941EC">
            <w:pPr>
              <w:jc w:val="center"/>
            </w:pPr>
            <w:r>
              <w:rPr>
                <w:color w:val="000000"/>
                <w:sz w:val="24"/>
              </w:rPr>
              <w:t>18</w:t>
            </w:r>
            <w:r>
              <w:rPr>
                <w:color w:val="000000"/>
                <w:sz w:val="24"/>
              </w:rPr>
              <w:t>国开</w:t>
            </w:r>
            <w:r>
              <w:rPr>
                <w:color w:val="000000"/>
                <w:sz w:val="24"/>
              </w:rPr>
              <w:t>11</w:t>
            </w:r>
          </w:p>
        </w:tc>
        <w:tc>
          <w:tcPr>
            <w:tcW w:w="1394" w:type="dxa"/>
            <w:vAlign w:val="center"/>
          </w:tcPr>
          <w:p w:rsidR="00C704D8" w:rsidRDefault="00F941EC">
            <w:pPr>
              <w:jc w:val="right"/>
            </w:pPr>
            <w:r>
              <w:rPr>
                <w:color w:val="000000"/>
                <w:sz w:val="24"/>
              </w:rPr>
              <w:t>4,100,000</w:t>
            </w:r>
          </w:p>
        </w:tc>
        <w:tc>
          <w:tcPr>
            <w:tcW w:w="1944" w:type="dxa"/>
            <w:vAlign w:val="center"/>
          </w:tcPr>
          <w:p w:rsidR="00C704D8" w:rsidRDefault="00F941EC">
            <w:pPr>
              <w:jc w:val="right"/>
            </w:pPr>
            <w:r>
              <w:rPr>
                <w:color w:val="000000"/>
                <w:sz w:val="24"/>
              </w:rPr>
              <w:t>416,232,000.00</w:t>
            </w:r>
          </w:p>
        </w:tc>
        <w:tc>
          <w:tcPr>
            <w:tcW w:w="1389" w:type="dxa"/>
            <w:vAlign w:val="center"/>
          </w:tcPr>
          <w:p w:rsidR="00C704D8" w:rsidRDefault="00F941EC">
            <w:pPr>
              <w:jc w:val="right"/>
            </w:pPr>
            <w:r>
              <w:rPr>
                <w:color w:val="000000"/>
                <w:sz w:val="24"/>
              </w:rPr>
              <w:t>11.53</w:t>
            </w:r>
          </w:p>
        </w:tc>
      </w:tr>
      <w:tr w:rsidR="00C704D8">
        <w:trPr>
          <w:jc w:val="center"/>
        </w:trPr>
        <w:tc>
          <w:tcPr>
            <w:tcW w:w="1075" w:type="dxa"/>
            <w:vAlign w:val="center"/>
          </w:tcPr>
          <w:p w:rsidR="00C704D8" w:rsidRDefault="00F941EC">
            <w:pPr>
              <w:jc w:val="center"/>
            </w:pPr>
            <w:r>
              <w:rPr>
                <w:color w:val="000000"/>
                <w:sz w:val="24"/>
              </w:rPr>
              <w:t>4</w:t>
            </w:r>
          </w:p>
        </w:tc>
        <w:tc>
          <w:tcPr>
            <w:tcW w:w="1533" w:type="dxa"/>
            <w:vAlign w:val="center"/>
          </w:tcPr>
          <w:p w:rsidR="00C704D8" w:rsidRDefault="00F941EC">
            <w:pPr>
              <w:jc w:val="center"/>
            </w:pPr>
            <w:r>
              <w:rPr>
                <w:color w:val="000000"/>
                <w:sz w:val="24"/>
              </w:rPr>
              <w:t>180204</w:t>
            </w:r>
          </w:p>
        </w:tc>
        <w:tc>
          <w:tcPr>
            <w:tcW w:w="1533" w:type="dxa"/>
            <w:vAlign w:val="center"/>
          </w:tcPr>
          <w:p w:rsidR="00C704D8" w:rsidRDefault="00F941EC">
            <w:pPr>
              <w:jc w:val="center"/>
            </w:pPr>
            <w:r>
              <w:rPr>
                <w:color w:val="000000"/>
                <w:sz w:val="24"/>
              </w:rPr>
              <w:t>18</w:t>
            </w:r>
            <w:r>
              <w:rPr>
                <w:color w:val="000000"/>
                <w:sz w:val="24"/>
              </w:rPr>
              <w:t>国开</w:t>
            </w:r>
            <w:r>
              <w:rPr>
                <w:color w:val="000000"/>
                <w:sz w:val="24"/>
              </w:rPr>
              <w:t>04</w:t>
            </w:r>
          </w:p>
        </w:tc>
        <w:tc>
          <w:tcPr>
            <w:tcW w:w="1394" w:type="dxa"/>
            <w:vAlign w:val="center"/>
          </w:tcPr>
          <w:p w:rsidR="00C704D8" w:rsidRDefault="00F941EC">
            <w:pPr>
              <w:jc w:val="right"/>
            </w:pPr>
            <w:r>
              <w:rPr>
                <w:color w:val="000000"/>
                <w:sz w:val="24"/>
              </w:rPr>
              <w:t>2,700,000</w:t>
            </w:r>
          </w:p>
        </w:tc>
        <w:tc>
          <w:tcPr>
            <w:tcW w:w="1944" w:type="dxa"/>
            <w:vAlign w:val="center"/>
          </w:tcPr>
          <w:p w:rsidR="00C704D8" w:rsidRDefault="00F941EC">
            <w:pPr>
              <w:jc w:val="right"/>
            </w:pPr>
            <w:r>
              <w:rPr>
                <w:color w:val="000000"/>
                <w:sz w:val="24"/>
              </w:rPr>
              <w:t>282,636,000.00</w:t>
            </w:r>
          </w:p>
        </w:tc>
        <w:tc>
          <w:tcPr>
            <w:tcW w:w="1389" w:type="dxa"/>
            <w:vAlign w:val="center"/>
          </w:tcPr>
          <w:p w:rsidR="00C704D8" w:rsidRDefault="00F941EC">
            <w:pPr>
              <w:jc w:val="right"/>
            </w:pPr>
            <w:r>
              <w:rPr>
                <w:color w:val="000000"/>
                <w:sz w:val="24"/>
              </w:rPr>
              <w:t>7.83</w:t>
            </w:r>
          </w:p>
        </w:tc>
      </w:tr>
      <w:tr w:rsidR="00C704D8">
        <w:trPr>
          <w:jc w:val="center"/>
        </w:trPr>
        <w:tc>
          <w:tcPr>
            <w:tcW w:w="1075" w:type="dxa"/>
            <w:vAlign w:val="center"/>
          </w:tcPr>
          <w:p w:rsidR="00C704D8" w:rsidRDefault="00F941EC">
            <w:pPr>
              <w:jc w:val="center"/>
            </w:pPr>
            <w:r>
              <w:rPr>
                <w:color w:val="000000"/>
                <w:sz w:val="24"/>
              </w:rPr>
              <w:t>5</w:t>
            </w:r>
          </w:p>
        </w:tc>
        <w:tc>
          <w:tcPr>
            <w:tcW w:w="1533" w:type="dxa"/>
            <w:vAlign w:val="center"/>
          </w:tcPr>
          <w:p w:rsidR="00C704D8" w:rsidRDefault="00F941EC">
            <w:pPr>
              <w:jc w:val="center"/>
            </w:pPr>
            <w:r>
              <w:rPr>
                <w:color w:val="000000"/>
                <w:sz w:val="24"/>
              </w:rPr>
              <w:t>190202</w:t>
            </w:r>
          </w:p>
        </w:tc>
        <w:tc>
          <w:tcPr>
            <w:tcW w:w="1533" w:type="dxa"/>
            <w:vAlign w:val="center"/>
          </w:tcPr>
          <w:p w:rsidR="00C704D8" w:rsidRDefault="00F941EC">
            <w:pPr>
              <w:jc w:val="center"/>
            </w:pPr>
            <w:r>
              <w:rPr>
                <w:color w:val="000000"/>
                <w:sz w:val="24"/>
              </w:rPr>
              <w:t>19</w:t>
            </w:r>
            <w:r>
              <w:rPr>
                <w:color w:val="000000"/>
                <w:sz w:val="24"/>
              </w:rPr>
              <w:t>国开</w:t>
            </w:r>
            <w:r>
              <w:rPr>
                <w:color w:val="000000"/>
                <w:sz w:val="24"/>
              </w:rPr>
              <w:t>02</w:t>
            </w:r>
          </w:p>
        </w:tc>
        <w:tc>
          <w:tcPr>
            <w:tcW w:w="1394" w:type="dxa"/>
            <w:vAlign w:val="center"/>
          </w:tcPr>
          <w:p w:rsidR="00C704D8" w:rsidRDefault="00F941EC">
            <w:pPr>
              <w:jc w:val="right"/>
            </w:pPr>
            <w:r>
              <w:rPr>
                <w:color w:val="000000"/>
                <w:sz w:val="24"/>
              </w:rPr>
              <w:t>2,500,000</w:t>
            </w:r>
          </w:p>
        </w:tc>
        <w:tc>
          <w:tcPr>
            <w:tcW w:w="1944" w:type="dxa"/>
            <w:vAlign w:val="center"/>
          </w:tcPr>
          <w:p w:rsidR="00C704D8" w:rsidRDefault="00F941EC">
            <w:pPr>
              <w:jc w:val="right"/>
            </w:pPr>
            <w:r>
              <w:rPr>
                <w:color w:val="000000"/>
                <w:sz w:val="24"/>
              </w:rPr>
              <w:t>250,050,000.00</w:t>
            </w:r>
          </w:p>
        </w:tc>
        <w:tc>
          <w:tcPr>
            <w:tcW w:w="1389" w:type="dxa"/>
            <w:vAlign w:val="center"/>
          </w:tcPr>
          <w:p w:rsidR="00C704D8" w:rsidRDefault="00F941EC">
            <w:pPr>
              <w:jc w:val="right"/>
            </w:pPr>
            <w:r>
              <w:rPr>
                <w:color w:val="000000"/>
                <w:sz w:val="24"/>
              </w:rPr>
              <w:t>6.93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1,962,520.52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75,357,414.99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77,320,070.55</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3,152,627,658.18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587,027,054.84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200,000,466.28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3,539,654,246.74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C704D8" w:rsidRDefault="00F941E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704D8">
        <w:tc>
          <w:tcPr>
            <w:tcW w:w="992" w:type="dxa"/>
            <w:vMerge w:val="restart"/>
          </w:tcPr>
          <w:p w:rsidR="00C704D8" w:rsidRDefault="00C704D8"/>
          <w:p w:rsidR="00C704D8" w:rsidRDefault="00F941EC">
            <w:r>
              <w:rPr>
                <w:rFonts w:ascii="宋体" w:hAnsi="宋体" w:hint="eastAsia"/>
                <w:bCs/>
                <w:color w:val="000000"/>
                <w:kern w:val="0"/>
                <w:szCs w:val="21"/>
              </w:rPr>
              <w:t>机构</w:t>
            </w:r>
          </w:p>
        </w:tc>
        <w:tc>
          <w:tcPr>
            <w:tcW w:w="991" w:type="dxa"/>
            <w:vAlign w:val="center"/>
          </w:tcPr>
          <w:p w:rsidR="00C704D8" w:rsidRDefault="00F941EC">
            <w:pPr>
              <w:jc w:val="center"/>
            </w:pPr>
            <w:r>
              <w:rPr>
                <w:rFonts w:ascii="宋体" w:hAnsi="宋体" w:hint="eastAsia"/>
                <w:color w:val="000000"/>
                <w:kern w:val="0"/>
                <w:szCs w:val="21"/>
              </w:rPr>
              <w:t>1</w:t>
            </w:r>
          </w:p>
        </w:tc>
        <w:tc>
          <w:tcPr>
            <w:tcW w:w="1843" w:type="dxa"/>
            <w:vAlign w:val="center"/>
          </w:tcPr>
          <w:p w:rsidR="00C704D8" w:rsidRDefault="00F941EC">
            <w:pPr>
              <w:jc w:val="center"/>
            </w:pPr>
            <w:r>
              <w:rPr>
                <w:rFonts w:ascii="宋体" w:hAnsi="宋体" w:hint="eastAsia"/>
                <w:color w:val="000000"/>
                <w:kern w:val="0"/>
                <w:szCs w:val="21"/>
              </w:rPr>
              <w:t>2019/7/1-2019/9/30</w:t>
            </w:r>
          </w:p>
        </w:tc>
        <w:tc>
          <w:tcPr>
            <w:tcW w:w="851" w:type="dxa"/>
            <w:vAlign w:val="center"/>
          </w:tcPr>
          <w:p w:rsidR="00C704D8" w:rsidRDefault="00F941EC">
            <w:pPr>
              <w:jc w:val="center"/>
            </w:pPr>
            <w:r>
              <w:rPr>
                <w:rFonts w:ascii="宋体" w:hAnsi="宋体" w:hint="eastAsia"/>
                <w:color w:val="000000"/>
                <w:kern w:val="0"/>
                <w:szCs w:val="21"/>
              </w:rPr>
              <w:t>877,192,007.80</w:t>
            </w:r>
          </w:p>
        </w:tc>
        <w:tc>
          <w:tcPr>
            <w:tcW w:w="850" w:type="dxa"/>
            <w:vAlign w:val="center"/>
          </w:tcPr>
          <w:p w:rsidR="00C704D8" w:rsidRDefault="00F941EC">
            <w:pPr>
              <w:jc w:val="center"/>
            </w:pPr>
            <w:r>
              <w:rPr>
                <w:rFonts w:ascii="宋体" w:hAnsi="宋体" w:hint="eastAsia"/>
                <w:color w:val="000000"/>
                <w:kern w:val="0"/>
                <w:szCs w:val="21"/>
              </w:rPr>
              <w:t>-</w:t>
            </w:r>
          </w:p>
        </w:tc>
        <w:tc>
          <w:tcPr>
            <w:tcW w:w="1134" w:type="dxa"/>
            <w:vAlign w:val="center"/>
          </w:tcPr>
          <w:p w:rsidR="00C704D8" w:rsidRDefault="00F941EC">
            <w:pPr>
              <w:jc w:val="center"/>
            </w:pPr>
            <w:r>
              <w:rPr>
                <w:rFonts w:ascii="宋体" w:hAnsi="宋体" w:hint="eastAsia"/>
                <w:color w:val="000000"/>
                <w:kern w:val="0"/>
                <w:szCs w:val="21"/>
              </w:rPr>
              <w:t>200,000,000.00</w:t>
            </w:r>
          </w:p>
        </w:tc>
        <w:tc>
          <w:tcPr>
            <w:tcW w:w="1419" w:type="dxa"/>
            <w:vAlign w:val="center"/>
          </w:tcPr>
          <w:p w:rsidR="00C704D8" w:rsidRDefault="00F941EC">
            <w:pPr>
              <w:jc w:val="center"/>
            </w:pPr>
            <w:r>
              <w:rPr>
                <w:rFonts w:ascii="宋体" w:hAnsi="宋体" w:hint="eastAsia"/>
                <w:color w:val="000000"/>
                <w:kern w:val="0"/>
                <w:szCs w:val="21"/>
              </w:rPr>
              <w:t>677,192,007.80</w:t>
            </w:r>
          </w:p>
        </w:tc>
        <w:tc>
          <w:tcPr>
            <w:tcW w:w="1130" w:type="dxa"/>
            <w:vAlign w:val="center"/>
          </w:tcPr>
          <w:p w:rsidR="00C704D8" w:rsidRDefault="00F941EC">
            <w:pPr>
              <w:jc w:val="center"/>
            </w:pPr>
            <w:r>
              <w:rPr>
                <w:rFonts w:ascii="宋体" w:hAnsi="宋体" w:hint="eastAsia"/>
                <w:color w:val="000000"/>
                <w:kern w:val="0"/>
                <w:szCs w:val="21"/>
              </w:rPr>
              <w:t>19.13%</w:t>
            </w:r>
          </w:p>
        </w:tc>
      </w:tr>
      <w:tr w:rsidR="00C704D8">
        <w:tc>
          <w:tcPr>
            <w:tcW w:w="992" w:type="dxa"/>
            <w:vMerge/>
          </w:tcPr>
          <w:p w:rsidR="00C704D8" w:rsidRDefault="00C704D8"/>
        </w:tc>
        <w:tc>
          <w:tcPr>
            <w:tcW w:w="991" w:type="dxa"/>
            <w:vAlign w:val="center"/>
          </w:tcPr>
          <w:p w:rsidR="00C704D8" w:rsidRDefault="00F941EC">
            <w:pPr>
              <w:jc w:val="center"/>
            </w:pPr>
            <w:r>
              <w:rPr>
                <w:rFonts w:ascii="宋体" w:hAnsi="宋体" w:hint="eastAsia"/>
                <w:color w:val="000000"/>
                <w:kern w:val="0"/>
                <w:szCs w:val="21"/>
              </w:rPr>
              <w:t>2</w:t>
            </w:r>
          </w:p>
        </w:tc>
        <w:tc>
          <w:tcPr>
            <w:tcW w:w="1843" w:type="dxa"/>
            <w:vAlign w:val="center"/>
          </w:tcPr>
          <w:p w:rsidR="00C704D8" w:rsidRDefault="00F941EC">
            <w:pPr>
              <w:jc w:val="center"/>
            </w:pPr>
            <w:r>
              <w:rPr>
                <w:rFonts w:ascii="宋体" w:hAnsi="宋体" w:hint="eastAsia"/>
                <w:color w:val="000000"/>
                <w:kern w:val="0"/>
                <w:szCs w:val="21"/>
              </w:rPr>
              <w:t>2019/7/1-2019/9</w:t>
            </w:r>
            <w:r>
              <w:rPr>
                <w:rFonts w:ascii="宋体" w:hAnsi="宋体" w:hint="eastAsia"/>
                <w:color w:val="000000"/>
                <w:kern w:val="0"/>
                <w:szCs w:val="21"/>
              </w:rPr>
              <w:lastRenderedPageBreak/>
              <w:t>/30</w:t>
            </w:r>
          </w:p>
        </w:tc>
        <w:tc>
          <w:tcPr>
            <w:tcW w:w="851" w:type="dxa"/>
            <w:vAlign w:val="center"/>
          </w:tcPr>
          <w:p w:rsidR="00C704D8" w:rsidRDefault="00F941EC">
            <w:pPr>
              <w:jc w:val="center"/>
            </w:pPr>
            <w:r>
              <w:rPr>
                <w:rFonts w:ascii="宋体" w:hAnsi="宋体" w:hint="eastAsia"/>
                <w:color w:val="000000"/>
                <w:kern w:val="0"/>
                <w:szCs w:val="21"/>
              </w:rPr>
              <w:lastRenderedPageBreak/>
              <w:t>687,47</w:t>
            </w:r>
            <w:r>
              <w:rPr>
                <w:rFonts w:ascii="宋体" w:hAnsi="宋体" w:hint="eastAsia"/>
                <w:color w:val="000000"/>
                <w:kern w:val="0"/>
                <w:szCs w:val="21"/>
              </w:rPr>
              <w:lastRenderedPageBreak/>
              <w:t>4,489.45</w:t>
            </w:r>
          </w:p>
        </w:tc>
        <w:tc>
          <w:tcPr>
            <w:tcW w:w="850" w:type="dxa"/>
            <w:vAlign w:val="center"/>
          </w:tcPr>
          <w:p w:rsidR="00C704D8" w:rsidRDefault="00F941EC">
            <w:pPr>
              <w:jc w:val="center"/>
            </w:pPr>
            <w:r>
              <w:rPr>
                <w:rFonts w:ascii="宋体" w:hAnsi="宋体" w:hint="eastAsia"/>
                <w:color w:val="000000"/>
                <w:kern w:val="0"/>
                <w:szCs w:val="21"/>
              </w:rPr>
              <w:lastRenderedPageBreak/>
              <w:t>-</w:t>
            </w:r>
          </w:p>
        </w:tc>
        <w:tc>
          <w:tcPr>
            <w:tcW w:w="1134" w:type="dxa"/>
            <w:vAlign w:val="center"/>
          </w:tcPr>
          <w:p w:rsidR="00C704D8" w:rsidRDefault="00F941EC">
            <w:pPr>
              <w:jc w:val="center"/>
            </w:pPr>
            <w:r>
              <w:rPr>
                <w:rFonts w:ascii="宋体" w:hAnsi="宋体" w:hint="eastAsia"/>
                <w:color w:val="000000"/>
                <w:kern w:val="0"/>
                <w:szCs w:val="21"/>
              </w:rPr>
              <w:t>-</w:t>
            </w:r>
          </w:p>
        </w:tc>
        <w:tc>
          <w:tcPr>
            <w:tcW w:w="1419" w:type="dxa"/>
            <w:vAlign w:val="center"/>
          </w:tcPr>
          <w:p w:rsidR="00C704D8" w:rsidRDefault="00F941EC">
            <w:pPr>
              <w:jc w:val="center"/>
            </w:pPr>
            <w:r>
              <w:rPr>
                <w:rFonts w:ascii="宋体" w:hAnsi="宋体" w:hint="eastAsia"/>
                <w:color w:val="000000"/>
                <w:kern w:val="0"/>
                <w:szCs w:val="21"/>
              </w:rPr>
              <w:t>687,474,489</w:t>
            </w:r>
            <w:r>
              <w:rPr>
                <w:rFonts w:ascii="宋体" w:hAnsi="宋体" w:hint="eastAsia"/>
                <w:color w:val="000000"/>
                <w:kern w:val="0"/>
                <w:szCs w:val="21"/>
              </w:rPr>
              <w:lastRenderedPageBreak/>
              <w:t>.45</w:t>
            </w:r>
          </w:p>
        </w:tc>
        <w:tc>
          <w:tcPr>
            <w:tcW w:w="1130" w:type="dxa"/>
            <w:vAlign w:val="center"/>
          </w:tcPr>
          <w:p w:rsidR="00C704D8" w:rsidRDefault="00F941EC">
            <w:pPr>
              <w:jc w:val="center"/>
            </w:pPr>
            <w:r>
              <w:rPr>
                <w:rFonts w:ascii="宋体" w:hAnsi="宋体" w:hint="eastAsia"/>
                <w:color w:val="000000"/>
                <w:kern w:val="0"/>
                <w:szCs w:val="21"/>
              </w:rPr>
              <w:lastRenderedPageBreak/>
              <w:t>19.42%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704D8" w:rsidRDefault="00F941E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w:t>
      </w:r>
      <w:r>
        <w:rPr>
          <w:rFonts w:eastAsiaTheme="minorEastAsia"/>
          <w:color w:val="000000"/>
          <w:sz w:val="24"/>
        </w:rPr>
        <w:t>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941EC">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941EC">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04D8"/>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41EC"/>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E032-398A-495A-9514-375B7CB1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14</Pages>
  <Words>1176</Words>
  <Characters>6704</Characters>
  <Application>Microsoft Office Word</Application>
  <DocSecurity>0</DocSecurity>
  <Lines>55</Lines>
  <Paragraphs>15</Paragraphs>
  <ScaleCrop>false</ScaleCrop>
  <Company>TRT. Ltd. Co.</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403</cp:revision>
  <cp:lastPrinted>2007-07-19T00:46:00Z</cp:lastPrinted>
  <dcterms:created xsi:type="dcterms:W3CDTF">2014-01-17T06:19:00Z</dcterms:created>
  <dcterms:modified xsi:type="dcterms:W3CDTF">2019-10-14T08:58:00Z</dcterms:modified>
</cp:coreProperties>
</file>