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交银施罗德股息优化混合型证券投资基金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二〇一九年十月二十二日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F185C" w:rsidRDefault="00590E2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F185C" w:rsidRDefault="00590E24">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F185C" w:rsidRDefault="00590E2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F185C" w:rsidRDefault="00590E24">
      <w:pPr>
        <w:spacing w:before="29" w:line="288" w:lineRule="auto"/>
        <w:ind w:firstLineChars="200" w:firstLine="480"/>
        <w:rPr>
          <w:color w:val="000000"/>
          <w:sz w:val="24"/>
          <w:szCs w:val="24"/>
        </w:rPr>
      </w:pPr>
      <w:r>
        <w:rPr>
          <w:color w:val="000000"/>
          <w:sz w:val="24"/>
          <w:szCs w:val="24"/>
        </w:rPr>
        <w:t>基金的过往业绩并不代表其未来表现。投资有</w:t>
      </w:r>
      <w:r>
        <w:rPr>
          <w:color w:val="000000"/>
          <w:sz w:val="24"/>
          <w:szCs w:val="24"/>
        </w:rPr>
        <w:t>风险，投资者在作出投资决策前应仔细阅读本基金的招募说明书。</w:t>
      </w:r>
      <w:r>
        <w:rPr>
          <w:color w:val="000000"/>
          <w:sz w:val="24"/>
          <w:szCs w:val="24"/>
        </w:rPr>
        <w:t xml:space="preserve"> </w:t>
      </w:r>
    </w:p>
    <w:p w:rsidR="00CF185C" w:rsidRDefault="00590E2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交银股息优化混合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004868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004868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255,568,367.62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本基金主要投资于具有稳定股息收益的优质成长性上市公司，以稳健收益为目标，追求长期的资产增值。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57D3C" w:rsidRPr="00414345" w:rsidTr="00557D3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57D3C" w:rsidRPr="00414345" w:rsidTr="00557D3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14,876,266.87</w:t>
            </w:r>
          </w:p>
        </w:tc>
      </w:tr>
      <w:tr w:rsidR="00557D3C" w:rsidRPr="00414345" w:rsidTr="00557D3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16,663,515.57</w:t>
            </w:r>
          </w:p>
        </w:tc>
      </w:tr>
      <w:tr w:rsidR="00557D3C" w:rsidRPr="00414345" w:rsidTr="00557D3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0.0961</w:t>
            </w:r>
          </w:p>
        </w:tc>
      </w:tr>
      <w:tr w:rsidR="00557D3C" w:rsidRPr="00414345" w:rsidTr="00557D3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330,665,323.56</w:t>
            </w:r>
          </w:p>
        </w:tc>
      </w:tr>
      <w:tr w:rsidR="00557D3C" w:rsidRPr="00414345" w:rsidTr="00557D3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1.2938</w:t>
            </w:r>
          </w:p>
        </w:tc>
      </w:tr>
    </w:tbl>
    <w:p w:rsidR="00CF185C" w:rsidRDefault="00590E2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F185C">
        <w:trPr>
          <w:jc w:val="center"/>
        </w:trPr>
        <w:tc>
          <w:tcPr>
            <w:tcW w:w="1701" w:type="dxa"/>
            <w:vAlign w:val="center"/>
          </w:tcPr>
          <w:p w:rsidR="00CF185C" w:rsidRDefault="00590E24">
            <w:pPr>
              <w:jc w:val="left"/>
            </w:pPr>
            <w:r>
              <w:rPr>
                <w:color w:val="000000"/>
                <w:sz w:val="24"/>
                <w:szCs w:val="24"/>
              </w:rPr>
              <w:t>过去三个月</w:t>
            </w:r>
          </w:p>
        </w:tc>
        <w:tc>
          <w:tcPr>
            <w:tcW w:w="1045" w:type="dxa"/>
            <w:vAlign w:val="center"/>
          </w:tcPr>
          <w:p w:rsidR="00CF185C" w:rsidRDefault="00590E24">
            <w:pPr>
              <w:jc w:val="center"/>
            </w:pPr>
            <w:r>
              <w:rPr>
                <w:color w:val="000000"/>
                <w:sz w:val="24"/>
                <w:szCs w:val="24"/>
              </w:rPr>
              <w:t>5.20%</w:t>
            </w:r>
          </w:p>
        </w:tc>
        <w:tc>
          <w:tcPr>
            <w:tcW w:w="1344" w:type="dxa"/>
            <w:vAlign w:val="center"/>
          </w:tcPr>
          <w:p w:rsidR="00CF185C" w:rsidRDefault="00590E24">
            <w:pPr>
              <w:jc w:val="center"/>
            </w:pPr>
            <w:r>
              <w:rPr>
                <w:color w:val="000000"/>
                <w:sz w:val="24"/>
                <w:szCs w:val="24"/>
              </w:rPr>
              <w:t>1.28%</w:t>
            </w:r>
          </w:p>
        </w:tc>
        <w:tc>
          <w:tcPr>
            <w:tcW w:w="1194" w:type="dxa"/>
            <w:vAlign w:val="center"/>
          </w:tcPr>
          <w:p w:rsidR="00CF185C" w:rsidRDefault="00590E24">
            <w:pPr>
              <w:jc w:val="center"/>
            </w:pPr>
            <w:r>
              <w:rPr>
                <w:color w:val="000000"/>
                <w:sz w:val="24"/>
                <w:szCs w:val="24"/>
              </w:rPr>
              <w:t>0.45%</w:t>
            </w:r>
          </w:p>
        </w:tc>
        <w:tc>
          <w:tcPr>
            <w:tcW w:w="1492" w:type="dxa"/>
            <w:vAlign w:val="center"/>
          </w:tcPr>
          <w:p w:rsidR="00CF185C" w:rsidRDefault="00590E24">
            <w:pPr>
              <w:jc w:val="center"/>
            </w:pPr>
            <w:r>
              <w:rPr>
                <w:color w:val="000000"/>
                <w:sz w:val="24"/>
                <w:szCs w:val="24"/>
              </w:rPr>
              <w:t>0.57%</w:t>
            </w:r>
          </w:p>
        </w:tc>
        <w:tc>
          <w:tcPr>
            <w:tcW w:w="1194" w:type="dxa"/>
            <w:vAlign w:val="center"/>
          </w:tcPr>
          <w:p w:rsidR="00CF185C" w:rsidRDefault="00590E24">
            <w:pPr>
              <w:jc w:val="center"/>
            </w:pPr>
            <w:r>
              <w:rPr>
                <w:color w:val="000000"/>
                <w:sz w:val="24"/>
                <w:szCs w:val="24"/>
              </w:rPr>
              <w:t>4.75%</w:t>
            </w:r>
          </w:p>
        </w:tc>
        <w:tc>
          <w:tcPr>
            <w:tcW w:w="898" w:type="dxa"/>
            <w:vAlign w:val="center"/>
          </w:tcPr>
          <w:p w:rsidR="00CF185C" w:rsidRDefault="00590E24">
            <w:pPr>
              <w:jc w:val="center"/>
            </w:pPr>
            <w:r>
              <w:rPr>
                <w:color w:val="000000"/>
                <w:sz w:val="24"/>
                <w:szCs w:val="24"/>
              </w:rPr>
              <w:t>0.71%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交银施罗德股息优化混合型证券投资基金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F185C">
        <w:trPr>
          <w:jc w:val="center"/>
        </w:trPr>
        <w:tc>
          <w:tcPr>
            <w:tcW w:w="846" w:type="dxa"/>
            <w:vAlign w:val="center"/>
          </w:tcPr>
          <w:p w:rsidR="00CF185C" w:rsidRDefault="00590E24">
            <w:pPr>
              <w:jc w:val="center"/>
            </w:pPr>
            <w:r>
              <w:rPr>
                <w:color w:val="000000"/>
                <w:sz w:val="24"/>
                <w:szCs w:val="24"/>
              </w:rPr>
              <w:t>韩威俊</w:t>
            </w:r>
          </w:p>
        </w:tc>
        <w:tc>
          <w:tcPr>
            <w:tcW w:w="845" w:type="dxa"/>
            <w:vAlign w:val="center"/>
          </w:tcPr>
          <w:p w:rsidR="00CF185C" w:rsidRDefault="00590E24">
            <w:pPr>
              <w:jc w:val="center"/>
            </w:pPr>
            <w:r>
              <w:rPr>
                <w:color w:val="000000"/>
                <w:sz w:val="24"/>
                <w:szCs w:val="24"/>
              </w:rPr>
              <w:t>交银趋势混合、交银策略回报灵活配置混合、交银消费</w:t>
            </w:r>
            <w:r>
              <w:rPr>
                <w:color w:val="000000"/>
                <w:sz w:val="24"/>
                <w:szCs w:val="24"/>
              </w:rPr>
              <w:lastRenderedPageBreak/>
              <w:t>新驱动股票、交银股息优化混合、交银品质升级混合的基金经理</w:t>
            </w:r>
          </w:p>
        </w:tc>
        <w:tc>
          <w:tcPr>
            <w:tcW w:w="1549" w:type="dxa"/>
            <w:vAlign w:val="center"/>
          </w:tcPr>
          <w:p w:rsidR="00CF185C" w:rsidRDefault="00590E24">
            <w:pPr>
              <w:jc w:val="center"/>
            </w:pPr>
            <w:r>
              <w:rPr>
                <w:color w:val="000000"/>
                <w:sz w:val="24"/>
                <w:szCs w:val="24"/>
              </w:rPr>
              <w:lastRenderedPageBreak/>
              <w:t>2017-08-25</w:t>
            </w:r>
          </w:p>
        </w:tc>
        <w:tc>
          <w:tcPr>
            <w:tcW w:w="1548" w:type="dxa"/>
            <w:vAlign w:val="center"/>
          </w:tcPr>
          <w:p w:rsidR="00CF185C" w:rsidRDefault="00590E24">
            <w:pPr>
              <w:jc w:val="center"/>
            </w:pPr>
            <w:r>
              <w:rPr>
                <w:color w:val="000000"/>
                <w:sz w:val="24"/>
                <w:szCs w:val="24"/>
              </w:rPr>
              <w:t>-</w:t>
            </w:r>
          </w:p>
        </w:tc>
        <w:tc>
          <w:tcPr>
            <w:tcW w:w="1407" w:type="dxa"/>
            <w:vAlign w:val="center"/>
          </w:tcPr>
          <w:p w:rsidR="00CF185C" w:rsidRDefault="00590E24">
            <w:pPr>
              <w:jc w:val="center"/>
            </w:pPr>
            <w:r>
              <w:rPr>
                <w:color w:val="000000"/>
                <w:sz w:val="24"/>
                <w:szCs w:val="24"/>
              </w:rPr>
              <w:t>13</w:t>
            </w:r>
            <w:r>
              <w:rPr>
                <w:color w:val="000000"/>
                <w:sz w:val="24"/>
                <w:szCs w:val="24"/>
              </w:rPr>
              <w:t>年</w:t>
            </w:r>
          </w:p>
        </w:tc>
        <w:tc>
          <w:tcPr>
            <w:tcW w:w="2673" w:type="dxa"/>
            <w:vAlign w:val="center"/>
          </w:tcPr>
          <w:p w:rsidR="00CF185C" w:rsidRDefault="00590E24">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F185C" w:rsidRDefault="00590E2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F185C" w:rsidRDefault="00590E2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F185C" w:rsidRDefault="00590E2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lastRenderedPageBreak/>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F185C" w:rsidRDefault="00590E24">
      <w:pPr>
        <w:spacing w:before="29" w:line="288" w:lineRule="auto"/>
        <w:ind w:firstLineChars="200" w:firstLine="480"/>
        <w:rPr>
          <w:color w:val="000000"/>
          <w:sz w:val="24"/>
          <w:szCs w:val="24"/>
        </w:rPr>
      </w:pPr>
      <w:r>
        <w:rPr>
          <w:color w:val="000000"/>
          <w:sz w:val="24"/>
          <w:szCs w:val="24"/>
        </w:rPr>
        <w:t>回顾</w:t>
      </w:r>
      <w:r>
        <w:rPr>
          <w:color w:val="000000"/>
          <w:sz w:val="24"/>
          <w:szCs w:val="24"/>
        </w:rPr>
        <w:t>2019</w:t>
      </w:r>
      <w:r>
        <w:rPr>
          <w:color w:val="000000"/>
          <w:sz w:val="24"/>
          <w:szCs w:val="24"/>
        </w:rPr>
        <w:t>年三季度，中美贸易战基本已告一段落，也没有出现更为严峻的趋势。利率市场化以后，整个长端利率水平开始出现下行趋势，市场风险偏好出现明显提升。</w:t>
      </w:r>
    </w:p>
    <w:p w:rsidR="00CF185C" w:rsidRDefault="00590E24">
      <w:pPr>
        <w:spacing w:before="29" w:line="288" w:lineRule="auto"/>
        <w:ind w:firstLineChars="200" w:firstLine="480"/>
        <w:rPr>
          <w:color w:val="000000"/>
          <w:sz w:val="24"/>
          <w:szCs w:val="24"/>
        </w:rPr>
      </w:pPr>
      <w:r>
        <w:rPr>
          <w:color w:val="000000"/>
          <w:sz w:val="24"/>
          <w:szCs w:val="24"/>
        </w:rPr>
        <w:t>本基金在</w:t>
      </w:r>
      <w:r>
        <w:rPr>
          <w:color w:val="000000"/>
          <w:sz w:val="24"/>
          <w:szCs w:val="24"/>
        </w:rPr>
        <w:t>2019</w:t>
      </w:r>
      <w:r>
        <w:rPr>
          <w:color w:val="000000"/>
          <w:sz w:val="24"/>
          <w:szCs w:val="24"/>
        </w:rPr>
        <w:t>年三季度基本上围绕着消费白马龙头作为底仓的配置思路，个股集中度依然维持在较高水平。重仓股做了适当的调整，减持了部分中报低于预期，三季报可能会继续下调盈利预测的个股，增持了部分商业地产公司，获得一定绝对收益，但是相对收益不明显。</w:t>
      </w:r>
    </w:p>
    <w:p w:rsidR="00CF185C" w:rsidRDefault="00590E24">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四季度，随着长端利率进一步下行，外资配置比例提高，整个市场的流动性会继续改善，市场未来将进入稳定的上涨周期。但是，由于宏观经济放缓，各个行业的增速也出现比较明显的放缓，个股基本面分化会更加明显。预计四季度全市场基本面将逐步见底，明年会出现好转。</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w:t>
      </w:r>
      <w:r w:rsidR="00557D3C">
        <w:rPr>
          <w:rFonts w:hint="eastAsia"/>
          <w:color w:val="000000"/>
          <w:sz w:val="24"/>
          <w:szCs w:val="24"/>
        </w:rPr>
        <w:t>基金</w:t>
      </w:r>
      <w:bookmarkStart w:id="0" w:name="_GoBack"/>
      <w:bookmarkEnd w:id="0"/>
      <w:r w:rsidRPr="00414345">
        <w:rPr>
          <w:color w:val="000000"/>
          <w:sz w:val="24"/>
          <w:szCs w:val="24"/>
        </w:rPr>
        <w:t>在四季度将保持消费白马和地产作为底仓的配置思路，适度增加银行、地产以及医药的配置比例。</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302,545,514.80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91.09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302,545,514.80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91.09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21,523,724.17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6.48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8,074,828.90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2.43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332,144,067.87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220,964,063.58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144,930.76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30,206,417.00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44,263,075.86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527,105.84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3,374,800.00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3,065,121.76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302,545,514.80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91.50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F185C">
        <w:trPr>
          <w:jc w:val="center"/>
        </w:trPr>
        <w:tc>
          <w:tcPr>
            <w:tcW w:w="855" w:type="dxa"/>
            <w:vAlign w:val="center"/>
          </w:tcPr>
          <w:p w:rsidR="00CF185C" w:rsidRDefault="00590E24">
            <w:pPr>
              <w:jc w:val="center"/>
            </w:pPr>
            <w:r>
              <w:rPr>
                <w:color w:val="000000"/>
                <w:sz w:val="24"/>
                <w:szCs w:val="24"/>
              </w:rPr>
              <w:t>1</w:t>
            </w:r>
          </w:p>
        </w:tc>
        <w:tc>
          <w:tcPr>
            <w:tcW w:w="1334" w:type="dxa"/>
            <w:vAlign w:val="center"/>
          </w:tcPr>
          <w:p w:rsidR="00CF185C" w:rsidRDefault="00590E24">
            <w:pPr>
              <w:jc w:val="center"/>
            </w:pPr>
            <w:r>
              <w:rPr>
                <w:color w:val="000000"/>
                <w:sz w:val="24"/>
                <w:szCs w:val="24"/>
              </w:rPr>
              <w:t>600519</w:t>
            </w:r>
          </w:p>
        </w:tc>
        <w:tc>
          <w:tcPr>
            <w:tcW w:w="1777" w:type="dxa"/>
            <w:vAlign w:val="center"/>
          </w:tcPr>
          <w:p w:rsidR="00CF185C" w:rsidRDefault="00590E24">
            <w:pPr>
              <w:jc w:val="center"/>
            </w:pPr>
            <w:r>
              <w:rPr>
                <w:color w:val="000000"/>
                <w:sz w:val="24"/>
                <w:szCs w:val="24"/>
              </w:rPr>
              <w:t>贵州茅台</w:t>
            </w:r>
          </w:p>
        </w:tc>
        <w:tc>
          <w:tcPr>
            <w:tcW w:w="1334" w:type="dxa"/>
            <w:vAlign w:val="center"/>
          </w:tcPr>
          <w:p w:rsidR="00CF185C" w:rsidRDefault="00590E24">
            <w:pPr>
              <w:jc w:val="right"/>
            </w:pPr>
            <w:r>
              <w:rPr>
                <w:color w:val="000000"/>
                <w:sz w:val="24"/>
                <w:szCs w:val="24"/>
              </w:rPr>
              <w:t>25,706</w:t>
            </w:r>
          </w:p>
        </w:tc>
        <w:tc>
          <w:tcPr>
            <w:tcW w:w="1924" w:type="dxa"/>
            <w:vAlign w:val="center"/>
          </w:tcPr>
          <w:p w:rsidR="00CF185C" w:rsidRDefault="00590E24">
            <w:pPr>
              <w:jc w:val="right"/>
            </w:pPr>
            <w:r>
              <w:rPr>
                <w:color w:val="000000"/>
                <w:sz w:val="24"/>
                <w:szCs w:val="24"/>
              </w:rPr>
              <w:t>29,561,900.00</w:t>
            </w:r>
          </w:p>
        </w:tc>
        <w:tc>
          <w:tcPr>
            <w:tcW w:w="1644" w:type="dxa"/>
            <w:vAlign w:val="center"/>
          </w:tcPr>
          <w:p w:rsidR="00CF185C" w:rsidRDefault="00590E24">
            <w:pPr>
              <w:jc w:val="right"/>
            </w:pPr>
            <w:r>
              <w:rPr>
                <w:color w:val="000000"/>
                <w:sz w:val="24"/>
                <w:szCs w:val="24"/>
              </w:rPr>
              <w:t>8.94</w:t>
            </w:r>
          </w:p>
        </w:tc>
      </w:tr>
      <w:tr w:rsidR="00CF185C">
        <w:trPr>
          <w:jc w:val="center"/>
        </w:trPr>
        <w:tc>
          <w:tcPr>
            <w:tcW w:w="855" w:type="dxa"/>
            <w:vAlign w:val="center"/>
          </w:tcPr>
          <w:p w:rsidR="00CF185C" w:rsidRDefault="00590E24">
            <w:pPr>
              <w:jc w:val="center"/>
            </w:pPr>
            <w:r>
              <w:rPr>
                <w:color w:val="000000"/>
                <w:sz w:val="24"/>
                <w:szCs w:val="24"/>
              </w:rPr>
              <w:t>2</w:t>
            </w:r>
          </w:p>
        </w:tc>
        <w:tc>
          <w:tcPr>
            <w:tcW w:w="1334" w:type="dxa"/>
            <w:vAlign w:val="center"/>
          </w:tcPr>
          <w:p w:rsidR="00CF185C" w:rsidRDefault="00590E24">
            <w:pPr>
              <w:jc w:val="center"/>
            </w:pPr>
            <w:r>
              <w:rPr>
                <w:color w:val="000000"/>
                <w:sz w:val="24"/>
                <w:szCs w:val="24"/>
              </w:rPr>
              <w:t>300146</w:t>
            </w:r>
          </w:p>
        </w:tc>
        <w:tc>
          <w:tcPr>
            <w:tcW w:w="1777" w:type="dxa"/>
            <w:vAlign w:val="center"/>
          </w:tcPr>
          <w:p w:rsidR="00CF185C" w:rsidRDefault="00590E24">
            <w:pPr>
              <w:jc w:val="center"/>
            </w:pPr>
            <w:r>
              <w:rPr>
                <w:color w:val="000000"/>
                <w:sz w:val="24"/>
                <w:szCs w:val="24"/>
              </w:rPr>
              <w:t>汤臣倍健</w:t>
            </w:r>
          </w:p>
        </w:tc>
        <w:tc>
          <w:tcPr>
            <w:tcW w:w="1334" w:type="dxa"/>
            <w:vAlign w:val="center"/>
          </w:tcPr>
          <w:p w:rsidR="00CF185C" w:rsidRDefault="00590E24">
            <w:pPr>
              <w:jc w:val="right"/>
            </w:pPr>
            <w:r>
              <w:rPr>
                <w:color w:val="000000"/>
                <w:sz w:val="24"/>
                <w:szCs w:val="24"/>
              </w:rPr>
              <w:t>1,559,731</w:t>
            </w:r>
          </w:p>
        </w:tc>
        <w:tc>
          <w:tcPr>
            <w:tcW w:w="1924" w:type="dxa"/>
            <w:vAlign w:val="center"/>
          </w:tcPr>
          <w:p w:rsidR="00CF185C" w:rsidRDefault="00590E24">
            <w:pPr>
              <w:jc w:val="right"/>
            </w:pPr>
            <w:r>
              <w:rPr>
                <w:color w:val="000000"/>
                <w:sz w:val="24"/>
                <w:szCs w:val="24"/>
              </w:rPr>
              <w:t>28,886,218.12</w:t>
            </w:r>
          </w:p>
        </w:tc>
        <w:tc>
          <w:tcPr>
            <w:tcW w:w="1644" w:type="dxa"/>
            <w:vAlign w:val="center"/>
          </w:tcPr>
          <w:p w:rsidR="00CF185C" w:rsidRDefault="00590E24">
            <w:pPr>
              <w:jc w:val="right"/>
            </w:pPr>
            <w:r>
              <w:rPr>
                <w:color w:val="000000"/>
                <w:sz w:val="24"/>
                <w:szCs w:val="24"/>
              </w:rPr>
              <w:t>8.74</w:t>
            </w:r>
          </w:p>
        </w:tc>
      </w:tr>
      <w:tr w:rsidR="00CF185C">
        <w:trPr>
          <w:jc w:val="center"/>
        </w:trPr>
        <w:tc>
          <w:tcPr>
            <w:tcW w:w="855" w:type="dxa"/>
            <w:vAlign w:val="center"/>
          </w:tcPr>
          <w:p w:rsidR="00CF185C" w:rsidRDefault="00590E24">
            <w:pPr>
              <w:jc w:val="center"/>
            </w:pPr>
            <w:r>
              <w:rPr>
                <w:color w:val="000000"/>
                <w:sz w:val="24"/>
                <w:szCs w:val="24"/>
              </w:rPr>
              <w:t>3</w:t>
            </w:r>
          </w:p>
        </w:tc>
        <w:tc>
          <w:tcPr>
            <w:tcW w:w="1334" w:type="dxa"/>
            <w:vAlign w:val="center"/>
          </w:tcPr>
          <w:p w:rsidR="00CF185C" w:rsidRDefault="00590E24">
            <w:pPr>
              <w:jc w:val="center"/>
            </w:pPr>
            <w:r>
              <w:rPr>
                <w:color w:val="000000"/>
                <w:sz w:val="24"/>
                <w:szCs w:val="24"/>
              </w:rPr>
              <w:t>000858</w:t>
            </w:r>
          </w:p>
        </w:tc>
        <w:tc>
          <w:tcPr>
            <w:tcW w:w="1777" w:type="dxa"/>
            <w:vAlign w:val="center"/>
          </w:tcPr>
          <w:p w:rsidR="00CF185C" w:rsidRDefault="00590E24">
            <w:pPr>
              <w:jc w:val="center"/>
            </w:pPr>
            <w:r>
              <w:rPr>
                <w:color w:val="000000"/>
                <w:sz w:val="24"/>
                <w:szCs w:val="24"/>
              </w:rPr>
              <w:t>五粮液</w:t>
            </w:r>
          </w:p>
        </w:tc>
        <w:tc>
          <w:tcPr>
            <w:tcW w:w="1334" w:type="dxa"/>
            <w:vAlign w:val="center"/>
          </w:tcPr>
          <w:p w:rsidR="00CF185C" w:rsidRDefault="00590E24">
            <w:pPr>
              <w:jc w:val="right"/>
            </w:pPr>
            <w:r>
              <w:rPr>
                <w:color w:val="000000"/>
                <w:sz w:val="24"/>
                <w:szCs w:val="24"/>
              </w:rPr>
              <w:t>219,870</w:t>
            </w:r>
          </w:p>
        </w:tc>
        <w:tc>
          <w:tcPr>
            <w:tcW w:w="1924" w:type="dxa"/>
            <w:vAlign w:val="center"/>
          </w:tcPr>
          <w:p w:rsidR="00CF185C" w:rsidRDefault="00590E24">
            <w:pPr>
              <w:jc w:val="right"/>
            </w:pPr>
            <w:r>
              <w:rPr>
                <w:color w:val="000000"/>
                <w:sz w:val="24"/>
                <w:szCs w:val="24"/>
              </w:rPr>
              <w:t>28,539,126.00</w:t>
            </w:r>
          </w:p>
        </w:tc>
        <w:tc>
          <w:tcPr>
            <w:tcW w:w="1644" w:type="dxa"/>
            <w:vAlign w:val="center"/>
          </w:tcPr>
          <w:p w:rsidR="00CF185C" w:rsidRDefault="00590E24">
            <w:pPr>
              <w:jc w:val="right"/>
            </w:pPr>
            <w:r>
              <w:rPr>
                <w:color w:val="000000"/>
                <w:sz w:val="24"/>
                <w:szCs w:val="24"/>
              </w:rPr>
              <w:t>8.63</w:t>
            </w:r>
          </w:p>
        </w:tc>
      </w:tr>
      <w:tr w:rsidR="00CF185C">
        <w:trPr>
          <w:jc w:val="center"/>
        </w:trPr>
        <w:tc>
          <w:tcPr>
            <w:tcW w:w="855" w:type="dxa"/>
            <w:vAlign w:val="center"/>
          </w:tcPr>
          <w:p w:rsidR="00CF185C" w:rsidRDefault="00590E24">
            <w:pPr>
              <w:jc w:val="center"/>
            </w:pPr>
            <w:r>
              <w:rPr>
                <w:color w:val="000000"/>
                <w:sz w:val="24"/>
                <w:szCs w:val="24"/>
              </w:rPr>
              <w:t>4</w:t>
            </w:r>
          </w:p>
        </w:tc>
        <w:tc>
          <w:tcPr>
            <w:tcW w:w="1334" w:type="dxa"/>
            <w:vAlign w:val="center"/>
          </w:tcPr>
          <w:p w:rsidR="00CF185C" w:rsidRDefault="00590E24">
            <w:pPr>
              <w:jc w:val="center"/>
            </w:pPr>
            <w:r>
              <w:rPr>
                <w:color w:val="000000"/>
                <w:sz w:val="24"/>
                <w:szCs w:val="24"/>
              </w:rPr>
              <w:t>603369</w:t>
            </w:r>
          </w:p>
        </w:tc>
        <w:tc>
          <w:tcPr>
            <w:tcW w:w="1777" w:type="dxa"/>
            <w:vAlign w:val="center"/>
          </w:tcPr>
          <w:p w:rsidR="00CF185C" w:rsidRDefault="00590E24">
            <w:pPr>
              <w:jc w:val="center"/>
            </w:pPr>
            <w:r>
              <w:rPr>
                <w:color w:val="000000"/>
                <w:sz w:val="24"/>
                <w:szCs w:val="24"/>
              </w:rPr>
              <w:t>今世缘</w:t>
            </w:r>
          </w:p>
        </w:tc>
        <w:tc>
          <w:tcPr>
            <w:tcW w:w="1334" w:type="dxa"/>
            <w:vAlign w:val="center"/>
          </w:tcPr>
          <w:p w:rsidR="00CF185C" w:rsidRDefault="00590E24">
            <w:pPr>
              <w:jc w:val="right"/>
            </w:pPr>
            <w:r>
              <w:rPr>
                <w:color w:val="000000"/>
                <w:sz w:val="24"/>
                <w:szCs w:val="24"/>
              </w:rPr>
              <w:t>880,100</w:t>
            </w:r>
          </w:p>
        </w:tc>
        <w:tc>
          <w:tcPr>
            <w:tcW w:w="1924" w:type="dxa"/>
            <w:vAlign w:val="center"/>
          </w:tcPr>
          <w:p w:rsidR="00CF185C" w:rsidRDefault="00590E24">
            <w:pPr>
              <w:jc w:val="right"/>
            </w:pPr>
            <w:r>
              <w:rPr>
                <w:color w:val="000000"/>
                <w:sz w:val="24"/>
                <w:szCs w:val="24"/>
              </w:rPr>
              <w:t>28,444,832.00</w:t>
            </w:r>
          </w:p>
        </w:tc>
        <w:tc>
          <w:tcPr>
            <w:tcW w:w="1644" w:type="dxa"/>
            <w:vAlign w:val="center"/>
          </w:tcPr>
          <w:p w:rsidR="00CF185C" w:rsidRDefault="00590E24">
            <w:pPr>
              <w:jc w:val="right"/>
            </w:pPr>
            <w:r>
              <w:rPr>
                <w:color w:val="000000"/>
                <w:sz w:val="24"/>
                <w:szCs w:val="24"/>
              </w:rPr>
              <w:t>8.60</w:t>
            </w:r>
          </w:p>
        </w:tc>
      </w:tr>
      <w:tr w:rsidR="00CF185C">
        <w:trPr>
          <w:jc w:val="center"/>
        </w:trPr>
        <w:tc>
          <w:tcPr>
            <w:tcW w:w="855" w:type="dxa"/>
            <w:vAlign w:val="center"/>
          </w:tcPr>
          <w:p w:rsidR="00CF185C" w:rsidRDefault="00590E24">
            <w:pPr>
              <w:jc w:val="center"/>
            </w:pPr>
            <w:r>
              <w:rPr>
                <w:color w:val="000000"/>
                <w:sz w:val="24"/>
                <w:szCs w:val="24"/>
              </w:rPr>
              <w:t>5</w:t>
            </w:r>
          </w:p>
        </w:tc>
        <w:tc>
          <w:tcPr>
            <w:tcW w:w="1334" w:type="dxa"/>
            <w:vAlign w:val="center"/>
          </w:tcPr>
          <w:p w:rsidR="00CF185C" w:rsidRDefault="00590E24">
            <w:pPr>
              <w:jc w:val="center"/>
            </w:pPr>
            <w:r>
              <w:rPr>
                <w:color w:val="000000"/>
                <w:sz w:val="24"/>
                <w:szCs w:val="24"/>
              </w:rPr>
              <w:t>000651</w:t>
            </w:r>
          </w:p>
        </w:tc>
        <w:tc>
          <w:tcPr>
            <w:tcW w:w="1777" w:type="dxa"/>
            <w:vAlign w:val="center"/>
          </w:tcPr>
          <w:p w:rsidR="00CF185C" w:rsidRDefault="00590E24">
            <w:pPr>
              <w:jc w:val="center"/>
            </w:pPr>
            <w:r>
              <w:rPr>
                <w:color w:val="000000"/>
                <w:sz w:val="24"/>
                <w:szCs w:val="24"/>
              </w:rPr>
              <w:t>格力电器</w:t>
            </w:r>
          </w:p>
        </w:tc>
        <w:tc>
          <w:tcPr>
            <w:tcW w:w="1334" w:type="dxa"/>
            <w:vAlign w:val="center"/>
          </w:tcPr>
          <w:p w:rsidR="00CF185C" w:rsidRDefault="00590E24">
            <w:pPr>
              <w:jc w:val="right"/>
            </w:pPr>
            <w:r>
              <w:rPr>
                <w:color w:val="000000"/>
                <w:sz w:val="24"/>
                <w:szCs w:val="24"/>
              </w:rPr>
              <w:t>403,300</w:t>
            </w:r>
          </w:p>
        </w:tc>
        <w:tc>
          <w:tcPr>
            <w:tcW w:w="1924" w:type="dxa"/>
            <w:vAlign w:val="center"/>
          </w:tcPr>
          <w:p w:rsidR="00CF185C" w:rsidRDefault="00590E24">
            <w:pPr>
              <w:jc w:val="right"/>
            </w:pPr>
            <w:r>
              <w:rPr>
                <w:color w:val="000000"/>
                <w:sz w:val="24"/>
                <w:szCs w:val="24"/>
              </w:rPr>
              <w:t>23,109,090.00</w:t>
            </w:r>
          </w:p>
        </w:tc>
        <w:tc>
          <w:tcPr>
            <w:tcW w:w="1644" w:type="dxa"/>
            <w:vAlign w:val="center"/>
          </w:tcPr>
          <w:p w:rsidR="00CF185C" w:rsidRDefault="00590E24">
            <w:pPr>
              <w:jc w:val="right"/>
            </w:pPr>
            <w:r>
              <w:rPr>
                <w:color w:val="000000"/>
                <w:sz w:val="24"/>
                <w:szCs w:val="24"/>
              </w:rPr>
              <w:t>6.99</w:t>
            </w:r>
          </w:p>
        </w:tc>
      </w:tr>
      <w:tr w:rsidR="00CF185C">
        <w:trPr>
          <w:jc w:val="center"/>
        </w:trPr>
        <w:tc>
          <w:tcPr>
            <w:tcW w:w="855" w:type="dxa"/>
            <w:vAlign w:val="center"/>
          </w:tcPr>
          <w:p w:rsidR="00CF185C" w:rsidRDefault="00590E24">
            <w:pPr>
              <w:jc w:val="center"/>
            </w:pPr>
            <w:r>
              <w:rPr>
                <w:color w:val="000000"/>
                <w:sz w:val="24"/>
                <w:szCs w:val="24"/>
              </w:rPr>
              <w:t>6</w:t>
            </w:r>
          </w:p>
        </w:tc>
        <w:tc>
          <w:tcPr>
            <w:tcW w:w="1334" w:type="dxa"/>
            <w:vAlign w:val="center"/>
          </w:tcPr>
          <w:p w:rsidR="00CF185C" w:rsidRDefault="00590E24">
            <w:pPr>
              <w:jc w:val="center"/>
            </w:pPr>
            <w:r>
              <w:rPr>
                <w:color w:val="000000"/>
                <w:sz w:val="24"/>
                <w:szCs w:val="24"/>
              </w:rPr>
              <w:t>600887</w:t>
            </w:r>
          </w:p>
        </w:tc>
        <w:tc>
          <w:tcPr>
            <w:tcW w:w="1777" w:type="dxa"/>
            <w:vAlign w:val="center"/>
          </w:tcPr>
          <w:p w:rsidR="00CF185C" w:rsidRDefault="00590E24">
            <w:pPr>
              <w:jc w:val="center"/>
            </w:pPr>
            <w:r>
              <w:rPr>
                <w:color w:val="000000"/>
                <w:sz w:val="24"/>
                <w:szCs w:val="24"/>
              </w:rPr>
              <w:t>伊利股份</w:t>
            </w:r>
          </w:p>
        </w:tc>
        <w:tc>
          <w:tcPr>
            <w:tcW w:w="1334" w:type="dxa"/>
            <w:vAlign w:val="center"/>
          </w:tcPr>
          <w:p w:rsidR="00CF185C" w:rsidRDefault="00590E24">
            <w:pPr>
              <w:jc w:val="right"/>
            </w:pPr>
            <w:r>
              <w:rPr>
                <w:color w:val="000000"/>
                <w:sz w:val="24"/>
                <w:szCs w:val="24"/>
              </w:rPr>
              <w:t>591,241</w:t>
            </w:r>
          </w:p>
        </w:tc>
        <w:tc>
          <w:tcPr>
            <w:tcW w:w="1924" w:type="dxa"/>
            <w:vAlign w:val="center"/>
          </w:tcPr>
          <w:p w:rsidR="00CF185C" w:rsidRDefault="00590E24">
            <w:pPr>
              <w:jc w:val="right"/>
            </w:pPr>
            <w:r>
              <w:rPr>
                <w:color w:val="000000"/>
                <w:sz w:val="24"/>
                <w:szCs w:val="24"/>
              </w:rPr>
              <w:t>16,862,193.32</w:t>
            </w:r>
          </w:p>
        </w:tc>
        <w:tc>
          <w:tcPr>
            <w:tcW w:w="1644" w:type="dxa"/>
            <w:vAlign w:val="center"/>
          </w:tcPr>
          <w:p w:rsidR="00CF185C" w:rsidRDefault="00590E24">
            <w:pPr>
              <w:jc w:val="right"/>
            </w:pPr>
            <w:r>
              <w:rPr>
                <w:color w:val="000000"/>
                <w:sz w:val="24"/>
                <w:szCs w:val="24"/>
              </w:rPr>
              <w:t>5.10</w:t>
            </w:r>
          </w:p>
        </w:tc>
      </w:tr>
      <w:tr w:rsidR="00CF185C">
        <w:trPr>
          <w:jc w:val="center"/>
        </w:trPr>
        <w:tc>
          <w:tcPr>
            <w:tcW w:w="855" w:type="dxa"/>
            <w:vAlign w:val="center"/>
          </w:tcPr>
          <w:p w:rsidR="00CF185C" w:rsidRDefault="00590E24">
            <w:pPr>
              <w:jc w:val="center"/>
            </w:pPr>
            <w:r>
              <w:rPr>
                <w:color w:val="000000"/>
                <w:sz w:val="24"/>
                <w:szCs w:val="24"/>
              </w:rPr>
              <w:t>7</w:t>
            </w:r>
          </w:p>
        </w:tc>
        <w:tc>
          <w:tcPr>
            <w:tcW w:w="1334" w:type="dxa"/>
            <w:vAlign w:val="center"/>
          </w:tcPr>
          <w:p w:rsidR="00CF185C" w:rsidRDefault="00590E24">
            <w:pPr>
              <w:jc w:val="center"/>
            </w:pPr>
            <w:r>
              <w:rPr>
                <w:color w:val="000000"/>
                <w:sz w:val="24"/>
                <w:szCs w:val="24"/>
              </w:rPr>
              <w:t>000031</w:t>
            </w:r>
          </w:p>
        </w:tc>
        <w:tc>
          <w:tcPr>
            <w:tcW w:w="1777" w:type="dxa"/>
            <w:vAlign w:val="center"/>
          </w:tcPr>
          <w:p w:rsidR="00CF185C" w:rsidRDefault="00590E24">
            <w:pPr>
              <w:jc w:val="center"/>
            </w:pPr>
            <w:r>
              <w:rPr>
                <w:color w:val="000000"/>
                <w:sz w:val="24"/>
                <w:szCs w:val="24"/>
              </w:rPr>
              <w:t>大悦城</w:t>
            </w:r>
          </w:p>
        </w:tc>
        <w:tc>
          <w:tcPr>
            <w:tcW w:w="1334" w:type="dxa"/>
            <w:vAlign w:val="center"/>
          </w:tcPr>
          <w:p w:rsidR="00CF185C" w:rsidRDefault="00590E24">
            <w:pPr>
              <w:jc w:val="right"/>
            </w:pPr>
            <w:r>
              <w:rPr>
                <w:color w:val="000000"/>
                <w:sz w:val="24"/>
                <w:szCs w:val="24"/>
              </w:rPr>
              <w:t>1,890,300</w:t>
            </w:r>
          </w:p>
        </w:tc>
        <w:tc>
          <w:tcPr>
            <w:tcW w:w="1924" w:type="dxa"/>
            <w:vAlign w:val="center"/>
          </w:tcPr>
          <w:p w:rsidR="00CF185C" w:rsidRDefault="00590E24">
            <w:pPr>
              <w:jc w:val="right"/>
            </w:pPr>
            <w:r>
              <w:rPr>
                <w:color w:val="000000"/>
                <w:sz w:val="24"/>
                <w:szCs w:val="24"/>
              </w:rPr>
              <w:t>12,797,331.00</w:t>
            </w:r>
          </w:p>
        </w:tc>
        <w:tc>
          <w:tcPr>
            <w:tcW w:w="1644" w:type="dxa"/>
            <w:vAlign w:val="center"/>
          </w:tcPr>
          <w:p w:rsidR="00CF185C" w:rsidRDefault="00590E24">
            <w:pPr>
              <w:jc w:val="right"/>
            </w:pPr>
            <w:r>
              <w:rPr>
                <w:color w:val="000000"/>
                <w:sz w:val="24"/>
                <w:szCs w:val="24"/>
              </w:rPr>
              <w:t>3.87</w:t>
            </w:r>
          </w:p>
        </w:tc>
      </w:tr>
      <w:tr w:rsidR="00CF185C">
        <w:trPr>
          <w:jc w:val="center"/>
        </w:trPr>
        <w:tc>
          <w:tcPr>
            <w:tcW w:w="855" w:type="dxa"/>
            <w:vAlign w:val="center"/>
          </w:tcPr>
          <w:p w:rsidR="00CF185C" w:rsidRDefault="00590E24">
            <w:pPr>
              <w:jc w:val="center"/>
            </w:pPr>
            <w:r>
              <w:rPr>
                <w:color w:val="000000"/>
                <w:sz w:val="24"/>
                <w:szCs w:val="24"/>
              </w:rPr>
              <w:t>8</w:t>
            </w:r>
          </w:p>
        </w:tc>
        <w:tc>
          <w:tcPr>
            <w:tcW w:w="1334" w:type="dxa"/>
            <w:vAlign w:val="center"/>
          </w:tcPr>
          <w:p w:rsidR="00CF185C" w:rsidRDefault="00590E24">
            <w:pPr>
              <w:jc w:val="center"/>
            </w:pPr>
            <w:r>
              <w:rPr>
                <w:color w:val="000000"/>
                <w:sz w:val="24"/>
                <w:szCs w:val="24"/>
              </w:rPr>
              <w:t>600529</w:t>
            </w:r>
          </w:p>
        </w:tc>
        <w:tc>
          <w:tcPr>
            <w:tcW w:w="1777" w:type="dxa"/>
            <w:vAlign w:val="center"/>
          </w:tcPr>
          <w:p w:rsidR="00CF185C" w:rsidRDefault="00590E24">
            <w:pPr>
              <w:jc w:val="center"/>
            </w:pPr>
            <w:r>
              <w:rPr>
                <w:color w:val="000000"/>
                <w:sz w:val="24"/>
                <w:szCs w:val="24"/>
              </w:rPr>
              <w:t>山东药玻</w:t>
            </w:r>
          </w:p>
        </w:tc>
        <w:tc>
          <w:tcPr>
            <w:tcW w:w="1334" w:type="dxa"/>
            <w:vAlign w:val="center"/>
          </w:tcPr>
          <w:p w:rsidR="00CF185C" w:rsidRDefault="00590E24">
            <w:pPr>
              <w:jc w:val="right"/>
            </w:pPr>
            <w:r>
              <w:rPr>
                <w:color w:val="000000"/>
                <w:sz w:val="24"/>
                <w:szCs w:val="24"/>
              </w:rPr>
              <w:t>530,140</w:t>
            </w:r>
          </w:p>
        </w:tc>
        <w:tc>
          <w:tcPr>
            <w:tcW w:w="1924" w:type="dxa"/>
            <w:vAlign w:val="center"/>
          </w:tcPr>
          <w:p w:rsidR="00CF185C" w:rsidRDefault="00590E24">
            <w:pPr>
              <w:jc w:val="right"/>
            </w:pPr>
            <w:r>
              <w:rPr>
                <w:color w:val="000000"/>
                <w:sz w:val="24"/>
                <w:szCs w:val="24"/>
              </w:rPr>
              <w:t>12,362,864.80</w:t>
            </w:r>
          </w:p>
        </w:tc>
        <w:tc>
          <w:tcPr>
            <w:tcW w:w="1644" w:type="dxa"/>
            <w:vAlign w:val="center"/>
          </w:tcPr>
          <w:p w:rsidR="00CF185C" w:rsidRDefault="00590E24">
            <w:pPr>
              <w:jc w:val="right"/>
            </w:pPr>
            <w:r>
              <w:rPr>
                <w:color w:val="000000"/>
                <w:sz w:val="24"/>
                <w:szCs w:val="24"/>
              </w:rPr>
              <w:t>3.74</w:t>
            </w:r>
          </w:p>
        </w:tc>
      </w:tr>
      <w:tr w:rsidR="00CF185C">
        <w:trPr>
          <w:jc w:val="center"/>
        </w:trPr>
        <w:tc>
          <w:tcPr>
            <w:tcW w:w="855" w:type="dxa"/>
            <w:vAlign w:val="center"/>
          </w:tcPr>
          <w:p w:rsidR="00CF185C" w:rsidRDefault="00590E24">
            <w:pPr>
              <w:jc w:val="center"/>
            </w:pPr>
            <w:r>
              <w:rPr>
                <w:color w:val="000000"/>
                <w:sz w:val="24"/>
                <w:szCs w:val="24"/>
              </w:rPr>
              <w:t>9</w:t>
            </w:r>
          </w:p>
        </w:tc>
        <w:tc>
          <w:tcPr>
            <w:tcW w:w="1334" w:type="dxa"/>
            <w:vAlign w:val="center"/>
          </w:tcPr>
          <w:p w:rsidR="00CF185C" w:rsidRDefault="00590E24">
            <w:pPr>
              <w:jc w:val="center"/>
            </w:pPr>
            <w:r>
              <w:rPr>
                <w:color w:val="000000"/>
                <w:sz w:val="24"/>
                <w:szCs w:val="24"/>
              </w:rPr>
              <w:t>601398</w:t>
            </w:r>
          </w:p>
        </w:tc>
        <w:tc>
          <w:tcPr>
            <w:tcW w:w="1777" w:type="dxa"/>
            <w:vAlign w:val="center"/>
          </w:tcPr>
          <w:p w:rsidR="00CF185C" w:rsidRDefault="00590E24">
            <w:pPr>
              <w:jc w:val="center"/>
            </w:pPr>
            <w:r>
              <w:rPr>
                <w:color w:val="000000"/>
                <w:sz w:val="24"/>
                <w:szCs w:val="24"/>
              </w:rPr>
              <w:t>工商银行</w:t>
            </w:r>
          </w:p>
        </w:tc>
        <w:tc>
          <w:tcPr>
            <w:tcW w:w="1334" w:type="dxa"/>
            <w:vAlign w:val="center"/>
          </w:tcPr>
          <w:p w:rsidR="00CF185C" w:rsidRDefault="00590E24">
            <w:pPr>
              <w:jc w:val="right"/>
            </w:pPr>
            <w:r>
              <w:rPr>
                <w:color w:val="000000"/>
                <w:sz w:val="24"/>
                <w:szCs w:val="24"/>
              </w:rPr>
              <w:t>2,005,100</w:t>
            </w:r>
          </w:p>
        </w:tc>
        <w:tc>
          <w:tcPr>
            <w:tcW w:w="1924" w:type="dxa"/>
            <w:vAlign w:val="center"/>
          </w:tcPr>
          <w:p w:rsidR="00CF185C" w:rsidRDefault="00590E24">
            <w:pPr>
              <w:jc w:val="right"/>
            </w:pPr>
            <w:r>
              <w:rPr>
                <w:color w:val="000000"/>
                <w:sz w:val="24"/>
                <w:szCs w:val="24"/>
              </w:rPr>
              <w:t>11,088,203.00</w:t>
            </w:r>
          </w:p>
        </w:tc>
        <w:tc>
          <w:tcPr>
            <w:tcW w:w="1644" w:type="dxa"/>
            <w:vAlign w:val="center"/>
          </w:tcPr>
          <w:p w:rsidR="00CF185C" w:rsidRDefault="00590E24">
            <w:pPr>
              <w:jc w:val="right"/>
            </w:pPr>
            <w:r>
              <w:rPr>
                <w:color w:val="000000"/>
                <w:sz w:val="24"/>
                <w:szCs w:val="24"/>
              </w:rPr>
              <w:t>3.35</w:t>
            </w:r>
          </w:p>
        </w:tc>
      </w:tr>
      <w:tr w:rsidR="00CF185C">
        <w:trPr>
          <w:jc w:val="center"/>
        </w:trPr>
        <w:tc>
          <w:tcPr>
            <w:tcW w:w="855" w:type="dxa"/>
            <w:vAlign w:val="center"/>
          </w:tcPr>
          <w:p w:rsidR="00CF185C" w:rsidRDefault="00590E24">
            <w:pPr>
              <w:jc w:val="center"/>
            </w:pPr>
            <w:r>
              <w:rPr>
                <w:color w:val="000000"/>
                <w:sz w:val="24"/>
                <w:szCs w:val="24"/>
              </w:rPr>
              <w:t>10</w:t>
            </w:r>
          </w:p>
        </w:tc>
        <w:tc>
          <w:tcPr>
            <w:tcW w:w="1334" w:type="dxa"/>
            <w:vAlign w:val="center"/>
          </w:tcPr>
          <w:p w:rsidR="00CF185C" w:rsidRDefault="00590E24">
            <w:pPr>
              <w:jc w:val="center"/>
            </w:pPr>
            <w:r>
              <w:rPr>
                <w:color w:val="000000"/>
                <w:sz w:val="24"/>
                <w:szCs w:val="24"/>
              </w:rPr>
              <w:t>600007</w:t>
            </w:r>
          </w:p>
        </w:tc>
        <w:tc>
          <w:tcPr>
            <w:tcW w:w="1777" w:type="dxa"/>
            <w:vAlign w:val="center"/>
          </w:tcPr>
          <w:p w:rsidR="00CF185C" w:rsidRDefault="00590E24">
            <w:pPr>
              <w:jc w:val="center"/>
            </w:pPr>
            <w:r>
              <w:rPr>
                <w:color w:val="000000"/>
                <w:sz w:val="24"/>
                <w:szCs w:val="24"/>
              </w:rPr>
              <w:t>中国国贸</w:t>
            </w:r>
          </w:p>
        </w:tc>
        <w:tc>
          <w:tcPr>
            <w:tcW w:w="1334" w:type="dxa"/>
            <w:vAlign w:val="center"/>
          </w:tcPr>
          <w:p w:rsidR="00CF185C" w:rsidRDefault="00590E24">
            <w:pPr>
              <w:jc w:val="right"/>
            </w:pPr>
            <w:r>
              <w:rPr>
                <w:color w:val="000000"/>
                <w:sz w:val="24"/>
                <w:szCs w:val="24"/>
              </w:rPr>
              <w:t>675,308</w:t>
            </w:r>
          </w:p>
        </w:tc>
        <w:tc>
          <w:tcPr>
            <w:tcW w:w="1924" w:type="dxa"/>
            <w:vAlign w:val="center"/>
          </w:tcPr>
          <w:p w:rsidR="00CF185C" w:rsidRDefault="00590E24">
            <w:pPr>
              <w:jc w:val="right"/>
            </w:pPr>
            <w:r>
              <w:rPr>
                <w:color w:val="000000"/>
                <w:sz w:val="24"/>
                <w:szCs w:val="24"/>
              </w:rPr>
              <w:t>10,919,730.36</w:t>
            </w:r>
          </w:p>
        </w:tc>
        <w:tc>
          <w:tcPr>
            <w:tcW w:w="1644" w:type="dxa"/>
            <w:vAlign w:val="center"/>
          </w:tcPr>
          <w:p w:rsidR="00CF185C" w:rsidRDefault="00590E24">
            <w:pPr>
              <w:jc w:val="right"/>
            </w:pPr>
            <w:r>
              <w:rPr>
                <w:color w:val="000000"/>
                <w:sz w:val="24"/>
                <w:szCs w:val="24"/>
              </w:rPr>
              <w:t>3.30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83,032.39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7,938,919.45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5,732.68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47,144.38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8,074,828.90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93,268,185.67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194,598,209.29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32,298,027.34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255,568,367.62</w:t>
            </w:r>
          </w:p>
        </w:tc>
      </w:tr>
    </w:tbl>
    <w:p w:rsidR="00CF185C" w:rsidRDefault="00590E2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w:t>
            </w:r>
            <w:r w:rsidRPr="004F4D27">
              <w:rPr>
                <w:rFonts w:ascii="宋体" w:hAnsi="宋体" w:hint="eastAsia"/>
                <w:color w:val="000000"/>
                <w:kern w:val="0"/>
              </w:rPr>
              <w:lastRenderedPageBreak/>
              <w:t>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lastRenderedPageBreak/>
              <w:t>期初份</w:t>
            </w:r>
            <w:r w:rsidRPr="004F4D27">
              <w:rPr>
                <w:rFonts w:ascii="宋体" w:hAnsi="宋体" w:hint="eastAsia"/>
                <w:color w:val="000000"/>
                <w:kern w:val="0"/>
              </w:rPr>
              <w:lastRenderedPageBreak/>
              <w:t>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lastRenderedPageBreak/>
              <w:t>申购份</w:t>
            </w:r>
            <w:r w:rsidRPr="004F4D27">
              <w:rPr>
                <w:rFonts w:ascii="宋体" w:hAnsi="宋体" w:hint="eastAsia"/>
                <w:color w:val="000000"/>
                <w:kern w:val="0"/>
              </w:rPr>
              <w:lastRenderedPageBreak/>
              <w:t>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lastRenderedPageBreak/>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CF185C">
        <w:tc>
          <w:tcPr>
            <w:tcW w:w="993" w:type="dxa"/>
            <w:vMerge w:val="restart"/>
          </w:tcPr>
          <w:p w:rsidR="00CF185C" w:rsidRDefault="00CF185C"/>
          <w:p w:rsidR="00CF185C" w:rsidRDefault="00590E24">
            <w:r>
              <w:rPr>
                <w:rFonts w:ascii="宋体" w:hAnsi="宋体" w:hint="eastAsia"/>
                <w:bCs/>
                <w:color w:val="000000"/>
                <w:kern w:val="0"/>
              </w:rPr>
              <w:t>机构</w:t>
            </w:r>
          </w:p>
        </w:tc>
        <w:tc>
          <w:tcPr>
            <w:tcW w:w="992" w:type="dxa"/>
            <w:vAlign w:val="center"/>
          </w:tcPr>
          <w:p w:rsidR="00CF185C" w:rsidRDefault="00590E24">
            <w:pPr>
              <w:jc w:val="center"/>
            </w:pPr>
            <w:r>
              <w:rPr>
                <w:rFonts w:ascii="宋体" w:hAnsi="宋体"/>
                <w:color w:val="000000"/>
                <w:kern w:val="0"/>
              </w:rPr>
              <w:t>1</w:t>
            </w:r>
          </w:p>
        </w:tc>
        <w:tc>
          <w:tcPr>
            <w:tcW w:w="1843" w:type="dxa"/>
            <w:vAlign w:val="center"/>
          </w:tcPr>
          <w:p w:rsidR="00CF185C" w:rsidRDefault="00590E24">
            <w:pPr>
              <w:jc w:val="center"/>
            </w:pPr>
            <w:r>
              <w:rPr>
                <w:rFonts w:ascii="宋体" w:hAnsi="宋体"/>
                <w:color w:val="000000"/>
                <w:kern w:val="0"/>
              </w:rPr>
              <w:t>2019/7/1-2019/9/30</w:t>
            </w:r>
          </w:p>
        </w:tc>
        <w:tc>
          <w:tcPr>
            <w:tcW w:w="851" w:type="dxa"/>
            <w:vAlign w:val="center"/>
          </w:tcPr>
          <w:p w:rsidR="00CF185C" w:rsidRDefault="00590E24">
            <w:pPr>
              <w:jc w:val="center"/>
            </w:pPr>
            <w:r>
              <w:rPr>
                <w:rFonts w:ascii="宋体" w:hAnsi="宋体"/>
                <w:color w:val="000000"/>
                <w:kern w:val="0"/>
              </w:rPr>
              <w:t>-</w:t>
            </w:r>
          </w:p>
        </w:tc>
        <w:tc>
          <w:tcPr>
            <w:tcW w:w="850" w:type="dxa"/>
            <w:vAlign w:val="center"/>
          </w:tcPr>
          <w:p w:rsidR="00CF185C" w:rsidRDefault="00590E24">
            <w:pPr>
              <w:jc w:val="center"/>
            </w:pPr>
            <w:r>
              <w:rPr>
                <w:rFonts w:ascii="宋体" w:hAnsi="宋体"/>
                <w:color w:val="000000"/>
                <w:kern w:val="0"/>
              </w:rPr>
              <w:t>65,374,925.46</w:t>
            </w:r>
          </w:p>
        </w:tc>
        <w:tc>
          <w:tcPr>
            <w:tcW w:w="1134" w:type="dxa"/>
            <w:vAlign w:val="center"/>
          </w:tcPr>
          <w:p w:rsidR="00CF185C" w:rsidRDefault="00590E24">
            <w:pPr>
              <w:jc w:val="center"/>
            </w:pPr>
            <w:r>
              <w:rPr>
                <w:rFonts w:ascii="宋体" w:hAnsi="宋体"/>
                <w:color w:val="000000"/>
                <w:kern w:val="0"/>
              </w:rPr>
              <w:t>-</w:t>
            </w:r>
          </w:p>
        </w:tc>
        <w:tc>
          <w:tcPr>
            <w:tcW w:w="1419" w:type="dxa"/>
            <w:vAlign w:val="center"/>
          </w:tcPr>
          <w:p w:rsidR="00CF185C" w:rsidRDefault="00590E24">
            <w:pPr>
              <w:jc w:val="center"/>
            </w:pPr>
            <w:r>
              <w:rPr>
                <w:rFonts w:ascii="宋体" w:hAnsi="宋体"/>
                <w:color w:val="000000"/>
                <w:kern w:val="0"/>
              </w:rPr>
              <w:t>65,374,925.46</w:t>
            </w:r>
          </w:p>
        </w:tc>
        <w:tc>
          <w:tcPr>
            <w:tcW w:w="1130" w:type="dxa"/>
            <w:vAlign w:val="center"/>
          </w:tcPr>
          <w:p w:rsidR="00CF185C" w:rsidRDefault="00590E24">
            <w:pPr>
              <w:jc w:val="center"/>
            </w:pPr>
            <w:r>
              <w:rPr>
                <w:rFonts w:ascii="宋体" w:hAnsi="宋体"/>
                <w:color w:val="000000"/>
                <w:kern w:val="0"/>
              </w:rPr>
              <w:t>25.58%</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F185C" w:rsidRDefault="00590E2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、中国证监会准予交银施罗德股息优化混合型证券投资基金募集注册的文件；</w:t>
      </w:r>
      <w:r>
        <w:rPr>
          <w:color w:val="000000"/>
          <w:sz w:val="24"/>
          <w:szCs w:val="24"/>
        </w:rPr>
        <w:t xml:space="preserve"> </w:t>
      </w:r>
    </w:p>
    <w:p w:rsidR="00CF185C" w:rsidRDefault="00590E2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、《交银施罗德股息优化混合型证券投资基金基金合同》；</w:t>
      </w:r>
      <w:r>
        <w:rPr>
          <w:color w:val="000000"/>
          <w:sz w:val="24"/>
          <w:szCs w:val="24"/>
        </w:rPr>
        <w:t xml:space="preserve"> </w:t>
      </w:r>
    </w:p>
    <w:p w:rsidR="00CF185C" w:rsidRDefault="00590E2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、《交银施罗德股息优化混合型证券投资基金招募说明书》；</w:t>
      </w:r>
      <w:r>
        <w:rPr>
          <w:color w:val="000000"/>
          <w:sz w:val="24"/>
          <w:szCs w:val="24"/>
        </w:rPr>
        <w:t xml:space="preserve"> </w:t>
      </w:r>
    </w:p>
    <w:p w:rsidR="00CF185C" w:rsidRDefault="00590E2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、《交银施罗德股息优化混合型证券投资基金托管协议》；</w:t>
      </w:r>
      <w:r>
        <w:rPr>
          <w:color w:val="000000"/>
          <w:sz w:val="24"/>
          <w:szCs w:val="24"/>
        </w:rPr>
        <w:t xml:space="preserve"> </w:t>
      </w:r>
    </w:p>
    <w:p w:rsidR="00CF185C" w:rsidRDefault="00590E24">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、关于申请募集注册交银施罗德股息优化混合型证券投资基金的法律意见书；</w:t>
      </w:r>
      <w:r>
        <w:rPr>
          <w:color w:val="000000"/>
          <w:sz w:val="24"/>
          <w:szCs w:val="24"/>
        </w:rPr>
        <w:t xml:space="preserve"> </w:t>
      </w:r>
    </w:p>
    <w:p w:rsidR="00CF185C" w:rsidRDefault="00590E2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F185C" w:rsidRDefault="00590E2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、报告期内交银施罗德股息优化混合型证券投资基金在指定报刊上各项公告的原稿。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F185C" w:rsidRDefault="00590E2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E24" w:rsidRDefault="00590E24" w:rsidP="00876D65">
      <w:r>
        <w:separator/>
      </w:r>
    </w:p>
  </w:endnote>
  <w:endnote w:type="continuationSeparator" w:id="0">
    <w:p w:rsidR="00590E24" w:rsidRDefault="00590E2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557D3C">
      <w:rPr>
        <w:noProof/>
        <w:kern w:val="0"/>
        <w:szCs w:val="21"/>
      </w:rPr>
      <w:t>5</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557D3C">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E24" w:rsidRDefault="00590E24" w:rsidP="00876D65">
      <w:r>
        <w:separator/>
      </w:r>
    </w:p>
  </w:footnote>
  <w:footnote w:type="continuationSeparator" w:id="0">
    <w:p w:rsidR="00590E24" w:rsidRDefault="00590E2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交银施罗德股息优化混合型证券投资基金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57D3C"/>
    <w:rsid w:val="005608EF"/>
    <w:rsid w:val="005659E4"/>
    <w:rsid w:val="00570842"/>
    <w:rsid w:val="00572784"/>
    <w:rsid w:val="00572D9F"/>
    <w:rsid w:val="00573097"/>
    <w:rsid w:val="00575270"/>
    <w:rsid w:val="005761EE"/>
    <w:rsid w:val="00582D99"/>
    <w:rsid w:val="00585263"/>
    <w:rsid w:val="005866D3"/>
    <w:rsid w:val="0059076B"/>
    <w:rsid w:val="00590E24"/>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185C"/>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EE45E-143E-4BBA-A09F-C1FFD689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1825</TotalTime>
  <Pages>11</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598</cp:revision>
  <dcterms:created xsi:type="dcterms:W3CDTF">2012-10-16T06:07:00Z</dcterms:created>
  <dcterms:modified xsi:type="dcterms:W3CDTF">2019-10-18T03:29:00Z</dcterms:modified>
</cp:coreProperties>
</file>