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交银施罗德消费新驱动股票型证券投资基金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二〇一九年十月二十二日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C10E8" w:rsidRDefault="00C7551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C10E8" w:rsidRDefault="00C75519">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2019</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C10E8" w:rsidRDefault="00C7551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w:t>
      </w:r>
      <w:r>
        <w:rPr>
          <w:color w:val="000000"/>
          <w:sz w:val="24"/>
          <w:szCs w:val="24"/>
        </w:rPr>
        <w:t xml:space="preserve"> </w:t>
      </w:r>
    </w:p>
    <w:p w:rsidR="00DC10E8" w:rsidRDefault="00C75519">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C10E8" w:rsidRDefault="00C75519">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交银消费新驱动股票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733,945,152.71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中证内地消费主题指数</w:t>
            </w:r>
            <w:r w:rsidRPr="00414345">
              <w:rPr>
                <w:color w:val="000000"/>
                <w:kern w:val="0"/>
                <w:sz w:val="24"/>
                <w:szCs w:val="24"/>
              </w:rPr>
              <w:t>+15%×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w:t>
            </w:r>
            <w:r w:rsidRPr="00414345">
              <w:rPr>
                <w:color w:val="000000"/>
                <w:kern w:val="0"/>
                <w:sz w:val="24"/>
                <w:szCs w:val="24"/>
              </w:rPr>
              <w:lastRenderedPageBreak/>
              <w:t>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933CE" w:rsidRPr="00414345" w:rsidTr="00D933C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D933CE" w:rsidRPr="00414345" w:rsidTr="00D933C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59,091,427.18</w:t>
            </w:r>
          </w:p>
        </w:tc>
      </w:tr>
      <w:tr w:rsidR="00D933CE" w:rsidRPr="00414345" w:rsidTr="00D933C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7,095,364.04</w:t>
            </w:r>
          </w:p>
        </w:tc>
      </w:tr>
      <w:tr w:rsidR="00D933CE" w:rsidRPr="00414345" w:rsidTr="00D933C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0.0089</w:t>
            </w:r>
          </w:p>
        </w:tc>
      </w:tr>
      <w:tr w:rsidR="00D933CE" w:rsidRPr="00414345" w:rsidTr="00D933C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735,019,553.16</w:t>
            </w:r>
          </w:p>
        </w:tc>
      </w:tr>
      <w:tr w:rsidR="00D933CE" w:rsidRPr="00414345" w:rsidTr="00D933C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1.001</w:t>
            </w:r>
          </w:p>
        </w:tc>
      </w:tr>
    </w:tbl>
    <w:p w:rsidR="00DC10E8" w:rsidRDefault="00C7551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C10E8">
        <w:trPr>
          <w:jc w:val="center"/>
        </w:trPr>
        <w:tc>
          <w:tcPr>
            <w:tcW w:w="1701" w:type="dxa"/>
            <w:vAlign w:val="center"/>
          </w:tcPr>
          <w:p w:rsidR="00DC10E8" w:rsidRDefault="00C75519">
            <w:pPr>
              <w:jc w:val="left"/>
            </w:pPr>
            <w:r>
              <w:rPr>
                <w:color w:val="000000"/>
                <w:sz w:val="24"/>
                <w:szCs w:val="24"/>
              </w:rPr>
              <w:t>过去三个月</w:t>
            </w:r>
          </w:p>
        </w:tc>
        <w:tc>
          <w:tcPr>
            <w:tcW w:w="1045" w:type="dxa"/>
            <w:vAlign w:val="center"/>
          </w:tcPr>
          <w:p w:rsidR="00DC10E8" w:rsidRDefault="00C75519">
            <w:pPr>
              <w:jc w:val="center"/>
            </w:pPr>
            <w:r>
              <w:rPr>
                <w:color w:val="000000"/>
                <w:sz w:val="24"/>
                <w:szCs w:val="24"/>
              </w:rPr>
              <w:t>0.38%</w:t>
            </w:r>
          </w:p>
        </w:tc>
        <w:tc>
          <w:tcPr>
            <w:tcW w:w="1344" w:type="dxa"/>
            <w:vAlign w:val="center"/>
          </w:tcPr>
          <w:p w:rsidR="00DC10E8" w:rsidRDefault="00C75519">
            <w:pPr>
              <w:jc w:val="center"/>
            </w:pPr>
            <w:r>
              <w:rPr>
                <w:color w:val="000000"/>
                <w:sz w:val="24"/>
                <w:szCs w:val="24"/>
              </w:rPr>
              <w:t>1.25%</w:t>
            </w:r>
          </w:p>
        </w:tc>
        <w:tc>
          <w:tcPr>
            <w:tcW w:w="1194" w:type="dxa"/>
            <w:vAlign w:val="center"/>
          </w:tcPr>
          <w:p w:rsidR="00DC10E8" w:rsidRDefault="00C75519">
            <w:pPr>
              <w:jc w:val="center"/>
            </w:pPr>
            <w:r>
              <w:rPr>
                <w:color w:val="000000"/>
                <w:sz w:val="24"/>
                <w:szCs w:val="24"/>
              </w:rPr>
              <w:t>2.15%</w:t>
            </w:r>
          </w:p>
        </w:tc>
        <w:tc>
          <w:tcPr>
            <w:tcW w:w="1492" w:type="dxa"/>
            <w:vAlign w:val="center"/>
          </w:tcPr>
          <w:p w:rsidR="00DC10E8" w:rsidRDefault="00C75519">
            <w:pPr>
              <w:jc w:val="center"/>
            </w:pPr>
            <w:r>
              <w:rPr>
                <w:color w:val="000000"/>
                <w:sz w:val="24"/>
                <w:szCs w:val="24"/>
              </w:rPr>
              <w:t>0.96%</w:t>
            </w:r>
          </w:p>
        </w:tc>
        <w:tc>
          <w:tcPr>
            <w:tcW w:w="1194" w:type="dxa"/>
            <w:vAlign w:val="center"/>
          </w:tcPr>
          <w:p w:rsidR="00DC10E8" w:rsidRDefault="00C75519">
            <w:pPr>
              <w:jc w:val="center"/>
            </w:pPr>
            <w:r>
              <w:rPr>
                <w:color w:val="000000"/>
                <w:sz w:val="24"/>
                <w:szCs w:val="24"/>
              </w:rPr>
              <w:t>-1.77%</w:t>
            </w:r>
          </w:p>
        </w:tc>
        <w:tc>
          <w:tcPr>
            <w:tcW w:w="898" w:type="dxa"/>
            <w:vAlign w:val="center"/>
          </w:tcPr>
          <w:p w:rsidR="00DC10E8" w:rsidRDefault="00C75519">
            <w:pPr>
              <w:jc w:val="center"/>
            </w:pPr>
            <w:r>
              <w:rPr>
                <w:color w:val="000000"/>
                <w:sz w:val="24"/>
                <w:szCs w:val="24"/>
              </w:rPr>
              <w:t>0.29%</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w:t>
      </w:r>
      <w:r w:rsidR="00C6002A" w:rsidRPr="00414345">
        <w:rPr>
          <w:b/>
          <w:bCs/>
          <w:color w:val="000000"/>
          <w:sz w:val="24"/>
        </w:rPr>
        <w:lastRenderedPageBreak/>
        <w:t>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交银施罗德消费新驱动股票型证券投资基金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注：本基金由交银施罗德沪深</w:t>
      </w:r>
      <w:r w:rsidRPr="00414345">
        <w:rPr>
          <w:color w:val="000000"/>
          <w:sz w:val="24"/>
          <w:szCs w:val="24"/>
        </w:rPr>
        <w:t>300</w:t>
      </w:r>
      <w:r w:rsidRPr="00414345">
        <w:rPr>
          <w:color w:val="000000"/>
          <w:sz w:val="24"/>
          <w:szCs w:val="24"/>
        </w:rPr>
        <w:t>行业分层等权重指数证券投资基金转型而来。基金转型日为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日。本基金的投资转型期为交银施罗德沪深</w:t>
      </w:r>
      <w:r w:rsidRPr="00414345">
        <w:rPr>
          <w:color w:val="000000"/>
          <w:sz w:val="24"/>
          <w:szCs w:val="24"/>
        </w:rPr>
        <w:t>300</w:t>
      </w:r>
      <w:r w:rsidRPr="00414345">
        <w:rPr>
          <w:color w:val="000000"/>
          <w:sz w:val="24"/>
          <w:szCs w:val="24"/>
        </w:rPr>
        <w:t>行业分层等权重指数证券投资基金转型实施日（即</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日）起的</w:t>
      </w:r>
      <w:r w:rsidRPr="00414345">
        <w:rPr>
          <w:color w:val="000000"/>
          <w:sz w:val="24"/>
          <w:szCs w:val="24"/>
        </w:rPr>
        <w:t>6</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C10E8">
        <w:trPr>
          <w:jc w:val="center"/>
        </w:trPr>
        <w:tc>
          <w:tcPr>
            <w:tcW w:w="846" w:type="dxa"/>
            <w:vAlign w:val="center"/>
          </w:tcPr>
          <w:p w:rsidR="00DC10E8" w:rsidRDefault="00C75519">
            <w:pPr>
              <w:jc w:val="center"/>
            </w:pPr>
            <w:r>
              <w:rPr>
                <w:color w:val="000000"/>
                <w:sz w:val="24"/>
                <w:szCs w:val="24"/>
              </w:rPr>
              <w:t>韩威俊</w:t>
            </w:r>
          </w:p>
        </w:tc>
        <w:tc>
          <w:tcPr>
            <w:tcW w:w="845" w:type="dxa"/>
            <w:vAlign w:val="center"/>
          </w:tcPr>
          <w:p w:rsidR="00DC10E8" w:rsidRDefault="00C75519">
            <w:pPr>
              <w:jc w:val="center"/>
            </w:pPr>
            <w:r>
              <w:rPr>
                <w:color w:val="000000"/>
                <w:sz w:val="24"/>
                <w:szCs w:val="24"/>
              </w:rPr>
              <w:t>交银趋势混合、交银策略回报灵活</w:t>
            </w:r>
            <w:r>
              <w:rPr>
                <w:color w:val="000000"/>
                <w:sz w:val="24"/>
                <w:szCs w:val="24"/>
              </w:rPr>
              <w:lastRenderedPageBreak/>
              <w:t>配置混合、交银消费新驱动股票、交银股息优化混合、交银品质升级混合的基金经理</w:t>
            </w:r>
          </w:p>
        </w:tc>
        <w:tc>
          <w:tcPr>
            <w:tcW w:w="1549" w:type="dxa"/>
            <w:vAlign w:val="center"/>
          </w:tcPr>
          <w:p w:rsidR="00DC10E8" w:rsidRDefault="00C75519">
            <w:pPr>
              <w:jc w:val="center"/>
            </w:pPr>
            <w:r>
              <w:rPr>
                <w:color w:val="000000"/>
                <w:sz w:val="24"/>
                <w:szCs w:val="24"/>
              </w:rPr>
              <w:lastRenderedPageBreak/>
              <w:t>2018-08-24</w:t>
            </w:r>
          </w:p>
        </w:tc>
        <w:tc>
          <w:tcPr>
            <w:tcW w:w="1548" w:type="dxa"/>
            <w:vAlign w:val="center"/>
          </w:tcPr>
          <w:p w:rsidR="00DC10E8" w:rsidRDefault="00C75519">
            <w:pPr>
              <w:jc w:val="center"/>
            </w:pPr>
            <w:r>
              <w:rPr>
                <w:color w:val="000000"/>
                <w:sz w:val="24"/>
                <w:szCs w:val="24"/>
              </w:rPr>
              <w:t>-</w:t>
            </w:r>
          </w:p>
        </w:tc>
        <w:tc>
          <w:tcPr>
            <w:tcW w:w="1407" w:type="dxa"/>
            <w:vAlign w:val="center"/>
          </w:tcPr>
          <w:p w:rsidR="00DC10E8" w:rsidRDefault="00C75519">
            <w:pPr>
              <w:jc w:val="center"/>
            </w:pPr>
            <w:r>
              <w:rPr>
                <w:color w:val="000000"/>
                <w:sz w:val="24"/>
                <w:szCs w:val="24"/>
              </w:rPr>
              <w:t>13</w:t>
            </w:r>
            <w:r>
              <w:rPr>
                <w:color w:val="000000"/>
                <w:sz w:val="24"/>
                <w:szCs w:val="24"/>
              </w:rPr>
              <w:t>年</w:t>
            </w:r>
          </w:p>
        </w:tc>
        <w:tc>
          <w:tcPr>
            <w:tcW w:w="2673" w:type="dxa"/>
            <w:vAlign w:val="center"/>
          </w:tcPr>
          <w:p w:rsidR="00DC10E8" w:rsidRDefault="00C75519">
            <w:r>
              <w:rPr>
                <w:color w:val="000000"/>
                <w:sz w:val="24"/>
                <w:szCs w:val="24"/>
              </w:rPr>
              <w:t>韩威俊先生，上海财经大学金融学硕士。历任申银万国证券研究所助理分析师、北京鼎天资产管理有限公司董事助理、申银万国证券研究所行业分析师、信诚基</w:t>
            </w:r>
            <w:r>
              <w:rPr>
                <w:color w:val="000000"/>
                <w:sz w:val="24"/>
                <w:szCs w:val="24"/>
              </w:rPr>
              <w:lastRenderedPageBreak/>
              <w:t>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C10E8" w:rsidRDefault="00C7551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C10E8" w:rsidRDefault="00C7551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C10E8" w:rsidRDefault="00C7551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w:t>
      </w:r>
      <w:r>
        <w:rPr>
          <w:color w:val="000000"/>
          <w:sz w:val="24"/>
          <w:szCs w:val="24"/>
        </w:rPr>
        <w:lastRenderedPageBreak/>
        <w:t>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C10E8" w:rsidRDefault="00C75519">
      <w:pPr>
        <w:spacing w:before="29" w:line="288" w:lineRule="auto"/>
        <w:ind w:firstLineChars="200" w:firstLine="480"/>
        <w:rPr>
          <w:color w:val="000000"/>
          <w:sz w:val="24"/>
          <w:szCs w:val="24"/>
        </w:rPr>
      </w:pPr>
      <w:r>
        <w:rPr>
          <w:color w:val="000000"/>
          <w:sz w:val="24"/>
          <w:szCs w:val="24"/>
        </w:rPr>
        <w:t>回顾</w:t>
      </w:r>
      <w:r>
        <w:rPr>
          <w:color w:val="000000"/>
          <w:sz w:val="24"/>
          <w:szCs w:val="24"/>
        </w:rPr>
        <w:t>2019</w:t>
      </w:r>
      <w:r>
        <w:rPr>
          <w:color w:val="000000"/>
          <w:sz w:val="24"/>
          <w:szCs w:val="24"/>
        </w:rPr>
        <w:t>年三季度，中美贸易战基本已告一段落，也没有出现更为严峻的趋势。利率市场化以后，整个长端利率水平开始出现下行趋势，市场风险偏好出现明显提升。</w:t>
      </w:r>
    </w:p>
    <w:p w:rsidR="00DC10E8" w:rsidRDefault="00C75519">
      <w:pPr>
        <w:spacing w:before="29" w:line="288" w:lineRule="auto"/>
        <w:ind w:firstLineChars="200" w:firstLine="480"/>
        <w:rPr>
          <w:color w:val="000000"/>
          <w:sz w:val="24"/>
          <w:szCs w:val="24"/>
        </w:rPr>
      </w:pPr>
      <w:r>
        <w:rPr>
          <w:color w:val="000000"/>
          <w:sz w:val="24"/>
          <w:szCs w:val="24"/>
        </w:rPr>
        <w:t>本基金在</w:t>
      </w:r>
      <w:r>
        <w:rPr>
          <w:color w:val="000000"/>
          <w:sz w:val="24"/>
          <w:szCs w:val="24"/>
        </w:rPr>
        <w:t>2019</w:t>
      </w:r>
      <w:r>
        <w:rPr>
          <w:color w:val="000000"/>
          <w:sz w:val="24"/>
          <w:szCs w:val="24"/>
        </w:rPr>
        <w:t>年三季度基本上围绕着消费白马龙头作为底仓的配置思路，个股集中度依然维持在较高水平。重仓股做了适当的调整，减持了部分中报低于预期，三季报可能会继续下调盈利预测的个股，增持了部分商业地产公司，获得一定绝对收益，但是相对收益不明显。</w:t>
      </w:r>
    </w:p>
    <w:p w:rsidR="00DC10E8" w:rsidRDefault="00C75519">
      <w:pPr>
        <w:spacing w:before="29" w:line="288" w:lineRule="auto"/>
        <w:ind w:firstLineChars="200" w:firstLine="480"/>
        <w:rPr>
          <w:color w:val="000000"/>
          <w:sz w:val="24"/>
          <w:szCs w:val="24"/>
        </w:rPr>
      </w:pPr>
      <w:r>
        <w:rPr>
          <w:color w:val="000000"/>
          <w:sz w:val="24"/>
          <w:szCs w:val="24"/>
        </w:rPr>
        <w:t>展望</w:t>
      </w:r>
      <w:r>
        <w:rPr>
          <w:color w:val="000000"/>
          <w:sz w:val="24"/>
          <w:szCs w:val="24"/>
        </w:rPr>
        <w:t>2019</w:t>
      </w:r>
      <w:r>
        <w:rPr>
          <w:color w:val="000000"/>
          <w:sz w:val="24"/>
          <w:szCs w:val="24"/>
        </w:rPr>
        <w:t>年四季度，随着长端利率进一步下行，外资配置比例提高，整个市场的流动性会继续改善，市场未来将进入稳定的上涨周期。但是，由于宏观经济放缓，各个行业的增速也出现比较明显的放缓，个股基本面分化会更加明显。预计四季度全市场基本面将逐步见底，明年会出现好转。</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w:t>
      </w:r>
      <w:r w:rsidR="00D933CE">
        <w:rPr>
          <w:rFonts w:hint="eastAsia"/>
          <w:color w:val="000000"/>
          <w:sz w:val="24"/>
          <w:szCs w:val="24"/>
        </w:rPr>
        <w:t>基金</w:t>
      </w:r>
      <w:bookmarkStart w:id="0" w:name="_GoBack"/>
      <w:bookmarkEnd w:id="0"/>
      <w:r w:rsidRPr="00414345">
        <w:rPr>
          <w:color w:val="000000"/>
          <w:sz w:val="24"/>
          <w:szCs w:val="24"/>
        </w:rPr>
        <w:t>在四季度将保持消费白马和地产作为底仓的配置思路，适度增加银行、地产以及医药的配置比例。</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684,798,327.75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92.75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684,798,327.75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92.75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49,710,203.27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6.73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3,809,639.43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0.52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738,318,170.45</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540,215,366.19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144,930.76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25,600,727.00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103,320,727.00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527,105.84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7,788,000.00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7,201,470.96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684,798,327.75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93.17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C10E8">
        <w:trPr>
          <w:jc w:val="center"/>
        </w:trPr>
        <w:tc>
          <w:tcPr>
            <w:tcW w:w="855" w:type="dxa"/>
            <w:vAlign w:val="center"/>
          </w:tcPr>
          <w:p w:rsidR="00DC10E8" w:rsidRDefault="00C75519">
            <w:pPr>
              <w:jc w:val="center"/>
            </w:pPr>
            <w:r>
              <w:rPr>
                <w:color w:val="000000"/>
                <w:sz w:val="24"/>
                <w:szCs w:val="24"/>
              </w:rPr>
              <w:t>1</w:t>
            </w:r>
          </w:p>
        </w:tc>
        <w:tc>
          <w:tcPr>
            <w:tcW w:w="1334" w:type="dxa"/>
            <w:vAlign w:val="center"/>
          </w:tcPr>
          <w:p w:rsidR="00DC10E8" w:rsidRDefault="00C75519">
            <w:pPr>
              <w:jc w:val="center"/>
            </w:pPr>
            <w:r>
              <w:rPr>
                <w:color w:val="000000"/>
                <w:sz w:val="24"/>
                <w:szCs w:val="24"/>
              </w:rPr>
              <w:t>600519</w:t>
            </w:r>
          </w:p>
        </w:tc>
        <w:tc>
          <w:tcPr>
            <w:tcW w:w="1777" w:type="dxa"/>
            <w:vAlign w:val="center"/>
          </w:tcPr>
          <w:p w:rsidR="00DC10E8" w:rsidRDefault="00C75519">
            <w:pPr>
              <w:jc w:val="center"/>
            </w:pPr>
            <w:r>
              <w:rPr>
                <w:color w:val="000000"/>
                <w:sz w:val="24"/>
                <w:szCs w:val="24"/>
              </w:rPr>
              <w:t>贵州茅台</w:t>
            </w:r>
          </w:p>
        </w:tc>
        <w:tc>
          <w:tcPr>
            <w:tcW w:w="1334" w:type="dxa"/>
            <w:vAlign w:val="center"/>
          </w:tcPr>
          <w:p w:rsidR="00DC10E8" w:rsidRDefault="00C75519">
            <w:pPr>
              <w:jc w:val="right"/>
            </w:pPr>
            <w:r>
              <w:rPr>
                <w:color w:val="000000"/>
                <w:sz w:val="24"/>
                <w:szCs w:val="24"/>
              </w:rPr>
              <w:t>58,996</w:t>
            </w:r>
          </w:p>
        </w:tc>
        <w:tc>
          <w:tcPr>
            <w:tcW w:w="1924" w:type="dxa"/>
            <w:vAlign w:val="center"/>
          </w:tcPr>
          <w:p w:rsidR="00DC10E8" w:rsidRDefault="00C75519">
            <w:pPr>
              <w:jc w:val="right"/>
            </w:pPr>
            <w:r>
              <w:rPr>
                <w:color w:val="000000"/>
                <w:sz w:val="24"/>
                <w:szCs w:val="24"/>
              </w:rPr>
              <w:t>67,845,400.00</w:t>
            </w:r>
          </w:p>
        </w:tc>
        <w:tc>
          <w:tcPr>
            <w:tcW w:w="1644" w:type="dxa"/>
            <w:vAlign w:val="center"/>
          </w:tcPr>
          <w:p w:rsidR="00DC10E8" w:rsidRDefault="00C75519">
            <w:pPr>
              <w:jc w:val="right"/>
            </w:pPr>
            <w:r>
              <w:rPr>
                <w:color w:val="000000"/>
                <w:sz w:val="24"/>
                <w:szCs w:val="24"/>
              </w:rPr>
              <w:t>9.23</w:t>
            </w:r>
          </w:p>
        </w:tc>
      </w:tr>
      <w:tr w:rsidR="00DC10E8">
        <w:trPr>
          <w:jc w:val="center"/>
        </w:trPr>
        <w:tc>
          <w:tcPr>
            <w:tcW w:w="855" w:type="dxa"/>
            <w:vAlign w:val="center"/>
          </w:tcPr>
          <w:p w:rsidR="00DC10E8" w:rsidRDefault="00C75519">
            <w:pPr>
              <w:jc w:val="center"/>
            </w:pPr>
            <w:r>
              <w:rPr>
                <w:color w:val="000000"/>
                <w:sz w:val="24"/>
                <w:szCs w:val="24"/>
              </w:rPr>
              <w:t>2</w:t>
            </w:r>
          </w:p>
        </w:tc>
        <w:tc>
          <w:tcPr>
            <w:tcW w:w="1334" w:type="dxa"/>
            <w:vAlign w:val="center"/>
          </w:tcPr>
          <w:p w:rsidR="00DC10E8" w:rsidRDefault="00C75519">
            <w:pPr>
              <w:jc w:val="center"/>
            </w:pPr>
            <w:r>
              <w:rPr>
                <w:color w:val="000000"/>
                <w:sz w:val="24"/>
                <w:szCs w:val="24"/>
              </w:rPr>
              <w:t>300146</w:t>
            </w:r>
          </w:p>
        </w:tc>
        <w:tc>
          <w:tcPr>
            <w:tcW w:w="1777" w:type="dxa"/>
            <w:vAlign w:val="center"/>
          </w:tcPr>
          <w:p w:rsidR="00DC10E8" w:rsidRDefault="00C75519">
            <w:pPr>
              <w:jc w:val="center"/>
            </w:pPr>
            <w:r>
              <w:rPr>
                <w:color w:val="000000"/>
                <w:sz w:val="24"/>
                <w:szCs w:val="24"/>
              </w:rPr>
              <w:t>汤臣倍健</w:t>
            </w:r>
          </w:p>
        </w:tc>
        <w:tc>
          <w:tcPr>
            <w:tcW w:w="1334" w:type="dxa"/>
            <w:vAlign w:val="center"/>
          </w:tcPr>
          <w:p w:rsidR="00DC10E8" w:rsidRDefault="00C75519">
            <w:pPr>
              <w:jc w:val="right"/>
            </w:pPr>
            <w:r>
              <w:rPr>
                <w:color w:val="000000"/>
                <w:sz w:val="24"/>
                <w:szCs w:val="24"/>
              </w:rPr>
              <w:t>3,565,081</w:t>
            </w:r>
          </w:p>
        </w:tc>
        <w:tc>
          <w:tcPr>
            <w:tcW w:w="1924" w:type="dxa"/>
            <w:vAlign w:val="center"/>
          </w:tcPr>
          <w:p w:rsidR="00DC10E8" w:rsidRDefault="00C75519">
            <w:pPr>
              <w:jc w:val="right"/>
            </w:pPr>
            <w:r>
              <w:rPr>
                <w:color w:val="000000"/>
                <w:sz w:val="24"/>
                <w:szCs w:val="24"/>
              </w:rPr>
              <w:t>66,025,300.12</w:t>
            </w:r>
          </w:p>
        </w:tc>
        <w:tc>
          <w:tcPr>
            <w:tcW w:w="1644" w:type="dxa"/>
            <w:vAlign w:val="center"/>
          </w:tcPr>
          <w:p w:rsidR="00DC10E8" w:rsidRDefault="00C75519">
            <w:pPr>
              <w:jc w:val="right"/>
            </w:pPr>
            <w:r>
              <w:rPr>
                <w:color w:val="000000"/>
                <w:sz w:val="24"/>
                <w:szCs w:val="24"/>
              </w:rPr>
              <w:t>8.98</w:t>
            </w:r>
          </w:p>
        </w:tc>
      </w:tr>
      <w:tr w:rsidR="00DC10E8">
        <w:trPr>
          <w:jc w:val="center"/>
        </w:trPr>
        <w:tc>
          <w:tcPr>
            <w:tcW w:w="855" w:type="dxa"/>
            <w:vAlign w:val="center"/>
          </w:tcPr>
          <w:p w:rsidR="00DC10E8" w:rsidRDefault="00C75519">
            <w:pPr>
              <w:jc w:val="center"/>
            </w:pPr>
            <w:r>
              <w:rPr>
                <w:color w:val="000000"/>
                <w:sz w:val="24"/>
                <w:szCs w:val="24"/>
              </w:rPr>
              <w:t>3</w:t>
            </w:r>
          </w:p>
        </w:tc>
        <w:tc>
          <w:tcPr>
            <w:tcW w:w="1334" w:type="dxa"/>
            <w:vAlign w:val="center"/>
          </w:tcPr>
          <w:p w:rsidR="00DC10E8" w:rsidRDefault="00C75519">
            <w:pPr>
              <w:jc w:val="center"/>
            </w:pPr>
            <w:r>
              <w:rPr>
                <w:color w:val="000000"/>
                <w:sz w:val="24"/>
                <w:szCs w:val="24"/>
              </w:rPr>
              <w:t>000858</w:t>
            </w:r>
          </w:p>
        </w:tc>
        <w:tc>
          <w:tcPr>
            <w:tcW w:w="1777" w:type="dxa"/>
            <w:vAlign w:val="center"/>
          </w:tcPr>
          <w:p w:rsidR="00DC10E8" w:rsidRDefault="00C75519">
            <w:pPr>
              <w:jc w:val="center"/>
            </w:pPr>
            <w:r>
              <w:rPr>
                <w:color w:val="000000"/>
                <w:sz w:val="24"/>
                <w:szCs w:val="24"/>
              </w:rPr>
              <w:t>五粮液</w:t>
            </w:r>
          </w:p>
        </w:tc>
        <w:tc>
          <w:tcPr>
            <w:tcW w:w="1334" w:type="dxa"/>
            <w:vAlign w:val="center"/>
          </w:tcPr>
          <w:p w:rsidR="00DC10E8" w:rsidRDefault="00C75519">
            <w:pPr>
              <w:jc w:val="right"/>
            </w:pPr>
            <w:r>
              <w:rPr>
                <w:color w:val="000000"/>
                <w:sz w:val="24"/>
                <w:szCs w:val="24"/>
              </w:rPr>
              <w:t>500,329</w:t>
            </w:r>
          </w:p>
        </w:tc>
        <w:tc>
          <w:tcPr>
            <w:tcW w:w="1924" w:type="dxa"/>
            <w:vAlign w:val="center"/>
          </w:tcPr>
          <w:p w:rsidR="00DC10E8" w:rsidRDefault="00C75519">
            <w:pPr>
              <w:jc w:val="right"/>
            </w:pPr>
            <w:r>
              <w:rPr>
                <w:color w:val="000000"/>
                <w:sz w:val="24"/>
                <w:szCs w:val="24"/>
              </w:rPr>
              <w:t>64,942,704.20</w:t>
            </w:r>
          </w:p>
        </w:tc>
        <w:tc>
          <w:tcPr>
            <w:tcW w:w="1644" w:type="dxa"/>
            <w:vAlign w:val="center"/>
          </w:tcPr>
          <w:p w:rsidR="00DC10E8" w:rsidRDefault="00C75519">
            <w:pPr>
              <w:jc w:val="right"/>
            </w:pPr>
            <w:r>
              <w:rPr>
                <w:color w:val="000000"/>
                <w:sz w:val="24"/>
                <w:szCs w:val="24"/>
              </w:rPr>
              <w:t>8.84</w:t>
            </w:r>
          </w:p>
        </w:tc>
      </w:tr>
      <w:tr w:rsidR="00DC10E8">
        <w:trPr>
          <w:jc w:val="center"/>
        </w:trPr>
        <w:tc>
          <w:tcPr>
            <w:tcW w:w="855" w:type="dxa"/>
            <w:vAlign w:val="center"/>
          </w:tcPr>
          <w:p w:rsidR="00DC10E8" w:rsidRDefault="00C75519">
            <w:pPr>
              <w:jc w:val="center"/>
            </w:pPr>
            <w:r>
              <w:rPr>
                <w:color w:val="000000"/>
                <w:sz w:val="24"/>
                <w:szCs w:val="24"/>
              </w:rPr>
              <w:t>4</w:t>
            </w:r>
          </w:p>
        </w:tc>
        <w:tc>
          <w:tcPr>
            <w:tcW w:w="1334" w:type="dxa"/>
            <w:vAlign w:val="center"/>
          </w:tcPr>
          <w:p w:rsidR="00DC10E8" w:rsidRDefault="00C75519">
            <w:pPr>
              <w:jc w:val="center"/>
            </w:pPr>
            <w:r>
              <w:rPr>
                <w:color w:val="000000"/>
                <w:sz w:val="24"/>
                <w:szCs w:val="24"/>
              </w:rPr>
              <w:t>603369</w:t>
            </w:r>
          </w:p>
        </w:tc>
        <w:tc>
          <w:tcPr>
            <w:tcW w:w="1777" w:type="dxa"/>
            <w:vAlign w:val="center"/>
          </w:tcPr>
          <w:p w:rsidR="00DC10E8" w:rsidRDefault="00C75519">
            <w:pPr>
              <w:jc w:val="center"/>
            </w:pPr>
            <w:r>
              <w:rPr>
                <w:color w:val="000000"/>
                <w:sz w:val="24"/>
                <w:szCs w:val="24"/>
              </w:rPr>
              <w:t>今世缘</w:t>
            </w:r>
          </w:p>
        </w:tc>
        <w:tc>
          <w:tcPr>
            <w:tcW w:w="1334" w:type="dxa"/>
            <w:vAlign w:val="center"/>
          </w:tcPr>
          <w:p w:rsidR="00DC10E8" w:rsidRDefault="00C75519">
            <w:pPr>
              <w:jc w:val="right"/>
            </w:pPr>
            <w:r>
              <w:rPr>
                <w:color w:val="000000"/>
                <w:sz w:val="24"/>
                <w:szCs w:val="24"/>
              </w:rPr>
              <w:t>1,985,697</w:t>
            </w:r>
          </w:p>
        </w:tc>
        <w:tc>
          <w:tcPr>
            <w:tcW w:w="1924" w:type="dxa"/>
            <w:vAlign w:val="center"/>
          </w:tcPr>
          <w:p w:rsidR="00DC10E8" w:rsidRDefault="00C75519">
            <w:pPr>
              <w:jc w:val="right"/>
            </w:pPr>
            <w:r>
              <w:rPr>
                <w:color w:val="000000"/>
                <w:sz w:val="24"/>
                <w:szCs w:val="24"/>
              </w:rPr>
              <w:t>64,177,727.04</w:t>
            </w:r>
          </w:p>
        </w:tc>
        <w:tc>
          <w:tcPr>
            <w:tcW w:w="1644" w:type="dxa"/>
            <w:vAlign w:val="center"/>
          </w:tcPr>
          <w:p w:rsidR="00DC10E8" w:rsidRDefault="00C75519">
            <w:pPr>
              <w:jc w:val="right"/>
            </w:pPr>
            <w:r>
              <w:rPr>
                <w:color w:val="000000"/>
                <w:sz w:val="24"/>
                <w:szCs w:val="24"/>
              </w:rPr>
              <w:t>8.73</w:t>
            </w:r>
          </w:p>
        </w:tc>
      </w:tr>
      <w:tr w:rsidR="00DC10E8">
        <w:trPr>
          <w:jc w:val="center"/>
        </w:trPr>
        <w:tc>
          <w:tcPr>
            <w:tcW w:w="855" w:type="dxa"/>
            <w:vAlign w:val="center"/>
          </w:tcPr>
          <w:p w:rsidR="00DC10E8" w:rsidRDefault="00C75519">
            <w:pPr>
              <w:jc w:val="center"/>
            </w:pPr>
            <w:r>
              <w:rPr>
                <w:color w:val="000000"/>
                <w:sz w:val="24"/>
                <w:szCs w:val="24"/>
              </w:rPr>
              <w:t>5</w:t>
            </w:r>
          </w:p>
        </w:tc>
        <w:tc>
          <w:tcPr>
            <w:tcW w:w="1334" w:type="dxa"/>
            <w:vAlign w:val="center"/>
          </w:tcPr>
          <w:p w:rsidR="00DC10E8" w:rsidRDefault="00C75519">
            <w:pPr>
              <w:jc w:val="center"/>
            </w:pPr>
            <w:r>
              <w:rPr>
                <w:color w:val="000000"/>
                <w:sz w:val="24"/>
                <w:szCs w:val="24"/>
              </w:rPr>
              <w:t>000651</w:t>
            </w:r>
          </w:p>
        </w:tc>
        <w:tc>
          <w:tcPr>
            <w:tcW w:w="1777" w:type="dxa"/>
            <w:vAlign w:val="center"/>
          </w:tcPr>
          <w:p w:rsidR="00DC10E8" w:rsidRDefault="00C75519">
            <w:pPr>
              <w:jc w:val="center"/>
            </w:pPr>
            <w:r>
              <w:rPr>
                <w:color w:val="000000"/>
                <w:sz w:val="24"/>
                <w:szCs w:val="24"/>
              </w:rPr>
              <w:t>格力电器</w:t>
            </w:r>
          </w:p>
        </w:tc>
        <w:tc>
          <w:tcPr>
            <w:tcW w:w="1334" w:type="dxa"/>
            <w:vAlign w:val="center"/>
          </w:tcPr>
          <w:p w:rsidR="00DC10E8" w:rsidRDefault="00C75519">
            <w:pPr>
              <w:jc w:val="right"/>
            </w:pPr>
            <w:r>
              <w:rPr>
                <w:color w:val="000000"/>
                <w:sz w:val="24"/>
                <w:szCs w:val="24"/>
              </w:rPr>
              <w:t>896,063</w:t>
            </w:r>
          </w:p>
        </w:tc>
        <w:tc>
          <w:tcPr>
            <w:tcW w:w="1924" w:type="dxa"/>
            <w:vAlign w:val="center"/>
          </w:tcPr>
          <w:p w:rsidR="00DC10E8" w:rsidRDefault="00C75519">
            <w:pPr>
              <w:jc w:val="right"/>
            </w:pPr>
            <w:r>
              <w:rPr>
                <w:color w:val="000000"/>
                <w:sz w:val="24"/>
                <w:szCs w:val="24"/>
              </w:rPr>
              <w:t>51,344,409.90</w:t>
            </w:r>
          </w:p>
        </w:tc>
        <w:tc>
          <w:tcPr>
            <w:tcW w:w="1644" w:type="dxa"/>
            <w:vAlign w:val="center"/>
          </w:tcPr>
          <w:p w:rsidR="00DC10E8" w:rsidRDefault="00C75519">
            <w:pPr>
              <w:jc w:val="right"/>
            </w:pPr>
            <w:r>
              <w:rPr>
                <w:color w:val="000000"/>
                <w:sz w:val="24"/>
                <w:szCs w:val="24"/>
              </w:rPr>
              <w:t>6.99</w:t>
            </w:r>
          </w:p>
        </w:tc>
      </w:tr>
      <w:tr w:rsidR="00DC10E8">
        <w:trPr>
          <w:jc w:val="center"/>
        </w:trPr>
        <w:tc>
          <w:tcPr>
            <w:tcW w:w="855" w:type="dxa"/>
            <w:vAlign w:val="center"/>
          </w:tcPr>
          <w:p w:rsidR="00DC10E8" w:rsidRDefault="00C75519">
            <w:pPr>
              <w:jc w:val="center"/>
            </w:pPr>
            <w:r>
              <w:rPr>
                <w:color w:val="000000"/>
                <w:sz w:val="24"/>
                <w:szCs w:val="24"/>
              </w:rPr>
              <w:t>6</w:t>
            </w:r>
          </w:p>
        </w:tc>
        <w:tc>
          <w:tcPr>
            <w:tcW w:w="1334" w:type="dxa"/>
            <w:vAlign w:val="center"/>
          </w:tcPr>
          <w:p w:rsidR="00DC10E8" w:rsidRDefault="00C75519">
            <w:pPr>
              <w:jc w:val="center"/>
            </w:pPr>
            <w:r>
              <w:rPr>
                <w:color w:val="000000"/>
                <w:sz w:val="24"/>
                <w:szCs w:val="24"/>
              </w:rPr>
              <w:t>603886</w:t>
            </w:r>
          </w:p>
        </w:tc>
        <w:tc>
          <w:tcPr>
            <w:tcW w:w="1777" w:type="dxa"/>
            <w:vAlign w:val="center"/>
          </w:tcPr>
          <w:p w:rsidR="00DC10E8" w:rsidRDefault="00C75519">
            <w:pPr>
              <w:jc w:val="center"/>
            </w:pPr>
            <w:r>
              <w:rPr>
                <w:color w:val="000000"/>
                <w:sz w:val="24"/>
                <w:szCs w:val="24"/>
              </w:rPr>
              <w:t>元祖股份</w:t>
            </w:r>
          </w:p>
        </w:tc>
        <w:tc>
          <w:tcPr>
            <w:tcW w:w="1334" w:type="dxa"/>
            <w:vAlign w:val="center"/>
          </w:tcPr>
          <w:p w:rsidR="00DC10E8" w:rsidRDefault="00C75519">
            <w:pPr>
              <w:jc w:val="right"/>
            </w:pPr>
            <w:r>
              <w:rPr>
                <w:color w:val="000000"/>
                <w:sz w:val="24"/>
                <w:szCs w:val="24"/>
              </w:rPr>
              <w:t>2,477,477</w:t>
            </w:r>
          </w:p>
        </w:tc>
        <w:tc>
          <w:tcPr>
            <w:tcW w:w="1924" w:type="dxa"/>
            <w:vAlign w:val="center"/>
          </w:tcPr>
          <w:p w:rsidR="00DC10E8" w:rsidRDefault="00C75519">
            <w:pPr>
              <w:jc w:val="right"/>
            </w:pPr>
            <w:r>
              <w:rPr>
                <w:color w:val="000000"/>
                <w:sz w:val="24"/>
                <w:szCs w:val="24"/>
              </w:rPr>
              <w:t>46,378,369.44</w:t>
            </w:r>
          </w:p>
        </w:tc>
        <w:tc>
          <w:tcPr>
            <w:tcW w:w="1644" w:type="dxa"/>
            <w:vAlign w:val="center"/>
          </w:tcPr>
          <w:p w:rsidR="00DC10E8" w:rsidRDefault="00C75519">
            <w:pPr>
              <w:jc w:val="right"/>
            </w:pPr>
            <w:r>
              <w:rPr>
                <w:color w:val="000000"/>
                <w:sz w:val="24"/>
                <w:szCs w:val="24"/>
              </w:rPr>
              <w:t>6.31</w:t>
            </w:r>
          </w:p>
        </w:tc>
      </w:tr>
      <w:tr w:rsidR="00DC10E8">
        <w:trPr>
          <w:jc w:val="center"/>
        </w:trPr>
        <w:tc>
          <w:tcPr>
            <w:tcW w:w="855" w:type="dxa"/>
            <w:vAlign w:val="center"/>
          </w:tcPr>
          <w:p w:rsidR="00DC10E8" w:rsidRDefault="00C75519">
            <w:pPr>
              <w:jc w:val="center"/>
            </w:pPr>
            <w:r>
              <w:rPr>
                <w:color w:val="000000"/>
                <w:sz w:val="24"/>
                <w:szCs w:val="24"/>
              </w:rPr>
              <w:t>7</w:t>
            </w:r>
          </w:p>
        </w:tc>
        <w:tc>
          <w:tcPr>
            <w:tcW w:w="1334" w:type="dxa"/>
            <w:vAlign w:val="center"/>
          </w:tcPr>
          <w:p w:rsidR="00DC10E8" w:rsidRDefault="00C75519">
            <w:pPr>
              <w:jc w:val="center"/>
            </w:pPr>
            <w:r>
              <w:rPr>
                <w:color w:val="000000"/>
                <w:sz w:val="24"/>
                <w:szCs w:val="24"/>
              </w:rPr>
              <w:t>600887</w:t>
            </w:r>
          </w:p>
        </w:tc>
        <w:tc>
          <w:tcPr>
            <w:tcW w:w="1777" w:type="dxa"/>
            <w:vAlign w:val="center"/>
          </w:tcPr>
          <w:p w:rsidR="00DC10E8" w:rsidRDefault="00C75519">
            <w:pPr>
              <w:jc w:val="center"/>
            </w:pPr>
            <w:r>
              <w:rPr>
                <w:color w:val="000000"/>
                <w:sz w:val="24"/>
                <w:szCs w:val="24"/>
              </w:rPr>
              <w:t>伊利股份</w:t>
            </w:r>
          </w:p>
        </w:tc>
        <w:tc>
          <w:tcPr>
            <w:tcW w:w="1334" w:type="dxa"/>
            <w:vAlign w:val="center"/>
          </w:tcPr>
          <w:p w:rsidR="00DC10E8" w:rsidRDefault="00C75519">
            <w:pPr>
              <w:jc w:val="right"/>
            </w:pPr>
            <w:r>
              <w:rPr>
                <w:color w:val="000000"/>
                <w:sz w:val="24"/>
                <w:szCs w:val="24"/>
              </w:rPr>
              <w:t>1,348,667</w:t>
            </w:r>
          </w:p>
        </w:tc>
        <w:tc>
          <w:tcPr>
            <w:tcW w:w="1924" w:type="dxa"/>
            <w:vAlign w:val="center"/>
          </w:tcPr>
          <w:p w:rsidR="00DC10E8" w:rsidRDefault="00C75519">
            <w:pPr>
              <w:jc w:val="right"/>
            </w:pPr>
            <w:r>
              <w:rPr>
                <w:color w:val="000000"/>
                <w:sz w:val="24"/>
                <w:szCs w:val="24"/>
              </w:rPr>
              <w:t>38,463,982.84</w:t>
            </w:r>
          </w:p>
        </w:tc>
        <w:tc>
          <w:tcPr>
            <w:tcW w:w="1644" w:type="dxa"/>
            <w:vAlign w:val="center"/>
          </w:tcPr>
          <w:p w:rsidR="00DC10E8" w:rsidRDefault="00C75519">
            <w:pPr>
              <w:jc w:val="right"/>
            </w:pPr>
            <w:r>
              <w:rPr>
                <w:color w:val="000000"/>
                <w:sz w:val="24"/>
                <w:szCs w:val="24"/>
              </w:rPr>
              <w:t>5.23</w:t>
            </w:r>
          </w:p>
        </w:tc>
      </w:tr>
      <w:tr w:rsidR="00DC10E8">
        <w:trPr>
          <w:jc w:val="center"/>
        </w:trPr>
        <w:tc>
          <w:tcPr>
            <w:tcW w:w="855" w:type="dxa"/>
            <w:vAlign w:val="center"/>
          </w:tcPr>
          <w:p w:rsidR="00DC10E8" w:rsidRDefault="00C75519">
            <w:pPr>
              <w:jc w:val="center"/>
            </w:pPr>
            <w:r>
              <w:rPr>
                <w:color w:val="000000"/>
                <w:sz w:val="24"/>
                <w:szCs w:val="24"/>
              </w:rPr>
              <w:t>8</w:t>
            </w:r>
          </w:p>
        </w:tc>
        <w:tc>
          <w:tcPr>
            <w:tcW w:w="1334" w:type="dxa"/>
            <w:vAlign w:val="center"/>
          </w:tcPr>
          <w:p w:rsidR="00DC10E8" w:rsidRDefault="00C75519">
            <w:pPr>
              <w:jc w:val="center"/>
            </w:pPr>
            <w:r>
              <w:rPr>
                <w:color w:val="000000"/>
                <w:sz w:val="24"/>
                <w:szCs w:val="24"/>
              </w:rPr>
              <w:t>000031</w:t>
            </w:r>
          </w:p>
        </w:tc>
        <w:tc>
          <w:tcPr>
            <w:tcW w:w="1777" w:type="dxa"/>
            <w:vAlign w:val="center"/>
          </w:tcPr>
          <w:p w:rsidR="00DC10E8" w:rsidRDefault="00C75519">
            <w:pPr>
              <w:jc w:val="center"/>
            </w:pPr>
            <w:r>
              <w:rPr>
                <w:color w:val="000000"/>
                <w:sz w:val="24"/>
                <w:szCs w:val="24"/>
              </w:rPr>
              <w:t>大悦城</w:t>
            </w:r>
          </w:p>
        </w:tc>
        <w:tc>
          <w:tcPr>
            <w:tcW w:w="1334" w:type="dxa"/>
            <w:vAlign w:val="center"/>
          </w:tcPr>
          <w:p w:rsidR="00DC10E8" w:rsidRDefault="00C75519">
            <w:pPr>
              <w:jc w:val="right"/>
            </w:pPr>
            <w:r>
              <w:rPr>
                <w:color w:val="000000"/>
                <w:sz w:val="24"/>
                <w:szCs w:val="24"/>
              </w:rPr>
              <w:t>4,885,100</w:t>
            </w:r>
          </w:p>
        </w:tc>
        <w:tc>
          <w:tcPr>
            <w:tcW w:w="1924" w:type="dxa"/>
            <w:vAlign w:val="center"/>
          </w:tcPr>
          <w:p w:rsidR="00DC10E8" w:rsidRDefault="00C75519">
            <w:pPr>
              <w:jc w:val="right"/>
            </w:pPr>
            <w:r>
              <w:rPr>
                <w:color w:val="000000"/>
                <w:sz w:val="24"/>
                <w:szCs w:val="24"/>
              </w:rPr>
              <w:t>33,072,127.00</w:t>
            </w:r>
          </w:p>
        </w:tc>
        <w:tc>
          <w:tcPr>
            <w:tcW w:w="1644" w:type="dxa"/>
            <w:vAlign w:val="center"/>
          </w:tcPr>
          <w:p w:rsidR="00DC10E8" w:rsidRDefault="00C75519">
            <w:pPr>
              <w:jc w:val="right"/>
            </w:pPr>
            <w:r>
              <w:rPr>
                <w:color w:val="000000"/>
                <w:sz w:val="24"/>
                <w:szCs w:val="24"/>
              </w:rPr>
              <w:t>4.50</w:t>
            </w:r>
          </w:p>
        </w:tc>
      </w:tr>
      <w:tr w:rsidR="00DC10E8">
        <w:trPr>
          <w:jc w:val="center"/>
        </w:trPr>
        <w:tc>
          <w:tcPr>
            <w:tcW w:w="855" w:type="dxa"/>
            <w:vAlign w:val="center"/>
          </w:tcPr>
          <w:p w:rsidR="00DC10E8" w:rsidRDefault="00C75519">
            <w:pPr>
              <w:jc w:val="center"/>
            </w:pPr>
            <w:r>
              <w:rPr>
                <w:color w:val="000000"/>
                <w:sz w:val="24"/>
                <w:szCs w:val="24"/>
              </w:rPr>
              <w:t>9</w:t>
            </w:r>
          </w:p>
        </w:tc>
        <w:tc>
          <w:tcPr>
            <w:tcW w:w="1334" w:type="dxa"/>
            <w:vAlign w:val="center"/>
          </w:tcPr>
          <w:p w:rsidR="00DC10E8" w:rsidRDefault="00C75519">
            <w:pPr>
              <w:jc w:val="center"/>
            </w:pPr>
            <w:r>
              <w:rPr>
                <w:color w:val="000000"/>
                <w:sz w:val="24"/>
                <w:szCs w:val="24"/>
              </w:rPr>
              <w:t>600007</w:t>
            </w:r>
          </w:p>
        </w:tc>
        <w:tc>
          <w:tcPr>
            <w:tcW w:w="1777" w:type="dxa"/>
            <w:vAlign w:val="center"/>
          </w:tcPr>
          <w:p w:rsidR="00DC10E8" w:rsidRDefault="00C75519">
            <w:pPr>
              <w:jc w:val="center"/>
            </w:pPr>
            <w:r>
              <w:rPr>
                <w:color w:val="000000"/>
                <w:sz w:val="24"/>
                <w:szCs w:val="24"/>
              </w:rPr>
              <w:t>中国国贸</w:t>
            </w:r>
          </w:p>
        </w:tc>
        <w:tc>
          <w:tcPr>
            <w:tcW w:w="1334" w:type="dxa"/>
            <w:vAlign w:val="center"/>
          </w:tcPr>
          <w:p w:rsidR="00DC10E8" w:rsidRDefault="00C75519">
            <w:pPr>
              <w:jc w:val="right"/>
            </w:pPr>
            <w:r>
              <w:rPr>
                <w:color w:val="000000"/>
                <w:sz w:val="24"/>
                <w:szCs w:val="24"/>
              </w:rPr>
              <w:t>1,643,900</w:t>
            </w:r>
          </w:p>
        </w:tc>
        <w:tc>
          <w:tcPr>
            <w:tcW w:w="1924" w:type="dxa"/>
            <w:vAlign w:val="center"/>
          </w:tcPr>
          <w:p w:rsidR="00DC10E8" w:rsidRDefault="00C75519">
            <w:pPr>
              <w:jc w:val="right"/>
            </w:pPr>
            <w:r>
              <w:rPr>
                <w:color w:val="000000"/>
                <w:sz w:val="24"/>
                <w:szCs w:val="24"/>
              </w:rPr>
              <w:t>26,581,863.00</w:t>
            </w:r>
          </w:p>
        </w:tc>
        <w:tc>
          <w:tcPr>
            <w:tcW w:w="1644" w:type="dxa"/>
            <w:vAlign w:val="center"/>
          </w:tcPr>
          <w:p w:rsidR="00DC10E8" w:rsidRDefault="00C75519">
            <w:pPr>
              <w:jc w:val="right"/>
            </w:pPr>
            <w:r>
              <w:rPr>
                <w:color w:val="000000"/>
                <w:sz w:val="24"/>
                <w:szCs w:val="24"/>
              </w:rPr>
              <w:t>3.62</w:t>
            </w:r>
          </w:p>
        </w:tc>
      </w:tr>
      <w:tr w:rsidR="00DC10E8">
        <w:trPr>
          <w:jc w:val="center"/>
        </w:trPr>
        <w:tc>
          <w:tcPr>
            <w:tcW w:w="855" w:type="dxa"/>
            <w:vAlign w:val="center"/>
          </w:tcPr>
          <w:p w:rsidR="00DC10E8" w:rsidRDefault="00C75519">
            <w:pPr>
              <w:jc w:val="center"/>
            </w:pPr>
            <w:r>
              <w:rPr>
                <w:color w:val="000000"/>
                <w:sz w:val="24"/>
                <w:szCs w:val="24"/>
              </w:rPr>
              <w:t>10</w:t>
            </w:r>
          </w:p>
        </w:tc>
        <w:tc>
          <w:tcPr>
            <w:tcW w:w="1334" w:type="dxa"/>
            <w:vAlign w:val="center"/>
          </w:tcPr>
          <w:p w:rsidR="00DC10E8" w:rsidRDefault="00C75519">
            <w:pPr>
              <w:jc w:val="center"/>
            </w:pPr>
            <w:r>
              <w:rPr>
                <w:color w:val="000000"/>
                <w:sz w:val="24"/>
                <w:szCs w:val="24"/>
              </w:rPr>
              <w:t>600529</w:t>
            </w:r>
          </w:p>
        </w:tc>
        <w:tc>
          <w:tcPr>
            <w:tcW w:w="1777" w:type="dxa"/>
            <w:vAlign w:val="center"/>
          </w:tcPr>
          <w:p w:rsidR="00DC10E8" w:rsidRDefault="00C75519">
            <w:pPr>
              <w:jc w:val="center"/>
            </w:pPr>
            <w:r>
              <w:rPr>
                <w:color w:val="000000"/>
                <w:sz w:val="24"/>
                <w:szCs w:val="24"/>
              </w:rPr>
              <w:t>山东药玻</w:t>
            </w:r>
          </w:p>
        </w:tc>
        <w:tc>
          <w:tcPr>
            <w:tcW w:w="1334" w:type="dxa"/>
            <w:vAlign w:val="center"/>
          </w:tcPr>
          <w:p w:rsidR="00DC10E8" w:rsidRDefault="00C75519">
            <w:pPr>
              <w:jc w:val="right"/>
            </w:pPr>
            <w:r>
              <w:rPr>
                <w:color w:val="000000"/>
                <w:sz w:val="24"/>
                <w:szCs w:val="24"/>
              </w:rPr>
              <w:t>1,079,541</w:t>
            </w:r>
          </w:p>
        </w:tc>
        <w:tc>
          <w:tcPr>
            <w:tcW w:w="1924" w:type="dxa"/>
            <w:vAlign w:val="center"/>
          </w:tcPr>
          <w:p w:rsidR="00DC10E8" w:rsidRDefault="00C75519">
            <w:pPr>
              <w:jc w:val="right"/>
            </w:pPr>
            <w:r>
              <w:rPr>
                <w:color w:val="000000"/>
                <w:sz w:val="24"/>
                <w:szCs w:val="24"/>
              </w:rPr>
              <w:t>25,174,896.12</w:t>
            </w:r>
          </w:p>
        </w:tc>
        <w:tc>
          <w:tcPr>
            <w:tcW w:w="1644" w:type="dxa"/>
            <w:vAlign w:val="center"/>
          </w:tcPr>
          <w:p w:rsidR="00DC10E8" w:rsidRDefault="00C75519">
            <w:pPr>
              <w:jc w:val="right"/>
            </w:pPr>
            <w:r>
              <w:rPr>
                <w:color w:val="000000"/>
                <w:sz w:val="24"/>
                <w:szCs w:val="24"/>
              </w:rPr>
              <w:t>3.43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494,590.94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2,852,726.52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11,624.32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450,697.65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3,809,639.43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1,056,415,749.53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97,986,155.20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420,456,752.02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733,945,152.71</w:t>
            </w:r>
          </w:p>
        </w:tc>
      </w:tr>
    </w:tbl>
    <w:p w:rsidR="00DC10E8" w:rsidRDefault="00C7551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16,320,209.54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17,233,116.25</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2.35</w:t>
            </w:r>
          </w:p>
        </w:tc>
      </w:tr>
    </w:tbl>
    <w:p w:rsidR="00DC10E8" w:rsidRDefault="00C7551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lastRenderedPageBreak/>
        <w:t>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776"/>
        <w:gridCol w:w="1317"/>
        <w:gridCol w:w="1633"/>
        <w:gridCol w:w="1767"/>
        <w:gridCol w:w="1343"/>
      </w:tblGrid>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序号</w:t>
            </w:r>
          </w:p>
        </w:tc>
        <w:tc>
          <w:tcPr>
            <w:tcW w:w="185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交易方式</w:t>
            </w:r>
          </w:p>
        </w:tc>
        <w:tc>
          <w:tcPr>
            <w:tcW w:w="1370" w:type="dxa"/>
            <w:vAlign w:val="center"/>
          </w:tcPr>
          <w:p w:rsidR="00320300" w:rsidRPr="00414345" w:rsidRDefault="00320300" w:rsidP="00C15CAC">
            <w:pPr>
              <w:adjustRightInd w:val="0"/>
              <w:snapToGrid w:val="0"/>
              <w:spacing w:before="29" w:line="288" w:lineRule="auto"/>
              <w:rPr>
                <w:color w:val="000000"/>
                <w:kern w:val="0"/>
                <w:sz w:val="24"/>
              </w:rPr>
            </w:pPr>
            <w:r w:rsidRPr="00414345">
              <w:rPr>
                <w:color w:val="000000"/>
                <w:kern w:val="0"/>
                <w:sz w:val="24"/>
              </w:rPr>
              <w:t>交易日期</w:t>
            </w:r>
          </w:p>
        </w:tc>
        <w:tc>
          <w:tcPr>
            <w:tcW w:w="170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交易份额（份）</w:t>
            </w:r>
          </w:p>
        </w:tc>
        <w:tc>
          <w:tcPr>
            <w:tcW w:w="1842"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交易金额（元）</w:t>
            </w:r>
          </w:p>
        </w:tc>
        <w:tc>
          <w:tcPr>
            <w:tcW w:w="1397"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适用费率</w:t>
            </w:r>
          </w:p>
        </w:tc>
      </w:tr>
      <w:tr w:rsidR="00DC10E8">
        <w:trPr>
          <w:jc w:val="center"/>
        </w:trPr>
        <w:tc>
          <w:tcPr>
            <w:tcW w:w="1032" w:type="dxa"/>
            <w:vAlign w:val="center"/>
          </w:tcPr>
          <w:p w:rsidR="00DC10E8" w:rsidRDefault="00C75519">
            <w:pPr>
              <w:jc w:val="center"/>
            </w:pPr>
            <w:r>
              <w:rPr>
                <w:color w:val="000000"/>
                <w:sz w:val="24"/>
              </w:rPr>
              <w:t>1</w:t>
            </w:r>
          </w:p>
        </w:tc>
        <w:tc>
          <w:tcPr>
            <w:tcW w:w="1776" w:type="dxa"/>
            <w:vAlign w:val="center"/>
          </w:tcPr>
          <w:p w:rsidR="00DC10E8" w:rsidRDefault="00C75519">
            <w:pPr>
              <w:jc w:val="center"/>
            </w:pPr>
            <w:r>
              <w:rPr>
                <w:color w:val="000000"/>
                <w:sz w:val="24"/>
              </w:rPr>
              <w:t>红利再投</w:t>
            </w:r>
          </w:p>
        </w:tc>
        <w:tc>
          <w:tcPr>
            <w:tcW w:w="1317" w:type="dxa"/>
            <w:vAlign w:val="center"/>
          </w:tcPr>
          <w:p w:rsidR="00DC10E8" w:rsidRDefault="00C75519">
            <w:pPr>
              <w:jc w:val="center"/>
            </w:pPr>
            <w:r>
              <w:rPr>
                <w:color w:val="000000"/>
                <w:sz w:val="24"/>
              </w:rPr>
              <w:t>2019-09-19</w:t>
            </w:r>
          </w:p>
        </w:tc>
        <w:tc>
          <w:tcPr>
            <w:tcW w:w="1633" w:type="dxa"/>
            <w:vAlign w:val="center"/>
          </w:tcPr>
          <w:p w:rsidR="00DC10E8" w:rsidRDefault="00C75519">
            <w:pPr>
              <w:jc w:val="right"/>
            </w:pPr>
            <w:r>
              <w:rPr>
                <w:color w:val="000000"/>
                <w:sz w:val="24"/>
              </w:rPr>
              <w:t>912,906.71</w:t>
            </w:r>
          </w:p>
        </w:tc>
        <w:tc>
          <w:tcPr>
            <w:tcW w:w="1767" w:type="dxa"/>
            <w:vAlign w:val="center"/>
          </w:tcPr>
          <w:p w:rsidR="00DC10E8" w:rsidRDefault="00C75519">
            <w:pPr>
              <w:jc w:val="right"/>
            </w:pPr>
            <w:r>
              <w:rPr>
                <w:color w:val="000000"/>
                <w:sz w:val="24"/>
              </w:rPr>
              <w:t>930,251.94</w:t>
            </w:r>
          </w:p>
        </w:tc>
        <w:tc>
          <w:tcPr>
            <w:tcW w:w="1343" w:type="dxa"/>
            <w:vAlign w:val="center"/>
          </w:tcPr>
          <w:p w:rsidR="00DC10E8" w:rsidRDefault="00C75519">
            <w:pPr>
              <w:jc w:val="center"/>
            </w:pPr>
            <w:r>
              <w:rPr>
                <w:color w:val="000000"/>
                <w:sz w:val="24"/>
              </w:rPr>
              <w:t>0.00%</w:t>
            </w:r>
          </w:p>
        </w:tc>
      </w:tr>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合计</w:t>
            </w:r>
          </w:p>
        </w:tc>
        <w:tc>
          <w:tcPr>
            <w:tcW w:w="1851"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370"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701"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912,906.71</w:t>
            </w:r>
          </w:p>
        </w:tc>
        <w:tc>
          <w:tcPr>
            <w:tcW w:w="1842"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930,251.94</w:t>
            </w:r>
          </w:p>
        </w:tc>
        <w:tc>
          <w:tcPr>
            <w:tcW w:w="1397" w:type="dxa"/>
            <w:vAlign w:val="center"/>
          </w:tcPr>
          <w:p w:rsidR="00320300" w:rsidRPr="00414345" w:rsidRDefault="00320300" w:rsidP="00C15CAC">
            <w:pPr>
              <w:adjustRightInd w:val="0"/>
              <w:snapToGrid w:val="0"/>
              <w:spacing w:before="29" w:line="288" w:lineRule="auto"/>
              <w:jc w:val="right"/>
              <w:rPr>
                <w:color w:val="0000FF"/>
                <w:kern w:val="0"/>
                <w:sz w:val="18"/>
              </w:rPr>
            </w:pPr>
          </w:p>
        </w:tc>
      </w:tr>
    </w:tbl>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DC10E8">
        <w:tc>
          <w:tcPr>
            <w:tcW w:w="993" w:type="dxa"/>
            <w:vMerge w:val="restart"/>
          </w:tcPr>
          <w:p w:rsidR="00DC10E8" w:rsidRDefault="00DC10E8"/>
          <w:p w:rsidR="00DC10E8" w:rsidRDefault="00C75519">
            <w:r>
              <w:rPr>
                <w:rFonts w:ascii="宋体" w:hAnsi="宋体" w:hint="eastAsia"/>
                <w:bCs/>
                <w:color w:val="000000"/>
                <w:kern w:val="0"/>
              </w:rPr>
              <w:t>机构</w:t>
            </w:r>
          </w:p>
        </w:tc>
        <w:tc>
          <w:tcPr>
            <w:tcW w:w="992" w:type="dxa"/>
            <w:vAlign w:val="center"/>
          </w:tcPr>
          <w:p w:rsidR="00DC10E8" w:rsidRDefault="00C75519">
            <w:pPr>
              <w:jc w:val="center"/>
            </w:pPr>
            <w:r>
              <w:rPr>
                <w:rFonts w:ascii="宋体" w:hAnsi="宋体"/>
                <w:color w:val="000000"/>
                <w:kern w:val="0"/>
              </w:rPr>
              <w:t>1</w:t>
            </w:r>
          </w:p>
        </w:tc>
        <w:tc>
          <w:tcPr>
            <w:tcW w:w="1843" w:type="dxa"/>
            <w:vAlign w:val="center"/>
          </w:tcPr>
          <w:p w:rsidR="00DC10E8" w:rsidRDefault="00C75519">
            <w:pPr>
              <w:jc w:val="center"/>
            </w:pPr>
            <w:r>
              <w:rPr>
                <w:rFonts w:ascii="宋体" w:hAnsi="宋体"/>
                <w:color w:val="000000"/>
                <w:kern w:val="0"/>
              </w:rPr>
              <w:t>2019/7/1-2019/9/30</w:t>
            </w:r>
          </w:p>
        </w:tc>
        <w:tc>
          <w:tcPr>
            <w:tcW w:w="851" w:type="dxa"/>
            <w:vAlign w:val="center"/>
          </w:tcPr>
          <w:p w:rsidR="00DC10E8" w:rsidRDefault="00C75519">
            <w:pPr>
              <w:jc w:val="center"/>
            </w:pPr>
            <w:r>
              <w:rPr>
                <w:rFonts w:ascii="宋体" w:hAnsi="宋体"/>
                <w:color w:val="000000"/>
                <w:kern w:val="0"/>
              </w:rPr>
              <w:t>308,292,142.88</w:t>
            </w:r>
          </w:p>
        </w:tc>
        <w:tc>
          <w:tcPr>
            <w:tcW w:w="850" w:type="dxa"/>
            <w:vAlign w:val="center"/>
          </w:tcPr>
          <w:p w:rsidR="00DC10E8" w:rsidRDefault="00C75519">
            <w:pPr>
              <w:jc w:val="center"/>
            </w:pPr>
            <w:r>
              <w:rPr>
                <w:rFonts w:ascii="宋体" w:hAnsi="宋体"/>
                <w:color w:val="000000"/>
                <w:kern w:val="0"/>
              </w:rPr>
              <w:t>-</w:t>
            </w:r>
          </w:p>
        </w:tc>
        <w:tc>
          <w:tcPr>
            <w:tcW w:w="1134" w:type="dxa"/>
            <w:vAlign w:val="center"/>
          </w:tcPr>
          <w:p w:rsidR="00DC10E8" w:rsidRDefault="00C75519">
            <w:pPr>
              <w:jc w:val="center"/>
            </w:pPr>
            <w:r>
              <w:rPr>
                <w:rFonts w:ascii="宋体" w:hAnsi="宋体"/>
                <w:color w:val="000000"/>
                <w:kern w:val="0"/>
              </w:rPr>
              <w:t>46,167,128.35</w:t>
            </w:r>
          </w:p>
        </w:tc>
        <w:tc>
          <w:tcPr>
            <w:tcW w:w="1419" w:type="dxa"/>
            <w:vAlign w:val="center"/>
          </w:tcPr>
          <w:p w:rsidR="00DC10E8" w:rsidRDefault="00C75519">
            <w:pPr>
              <w:jc w:val="center"/>
            </w:pPr>
            <w:r>
              <w:rPr>
                <w:rFonts w:ascii="宋体" w:hAnsi="宋体"/>
                <w:color w:val="000000"/>
                <w:kern w:val="0"/>
              </w:rPr>
              <w:t>262,125,014.53</w:t>
            </w:r>
          </w:p>
        </w:tc>
        <w:tc>
          <w:tcPr>
            <w:tcW w:w="1130" w:type="dxa"/>
            <w:vAlign w:val="center"/>
          </w:tcPr>
          <w:p w:rsidR="00DC10E8" w:rsidRDefault="00C75519">
            <w:pPr>
              <w:jc w:val="center"/>
            </w:pPr>
            <w:r>
              <w:rPr>
                <w:rFonts w:ascii="宋体" w:hAnsi="宋体"/>
                <w:color w:val="000000"/>
                <w:kern w:val="0"/>
              </w:rPr>
              <w:t>35.71%</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DC10E8" w:rsidRDefault="00C7551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、中国证监会批准交银施罗德沪深</w:t>
      </w:r>
      <w:r>
        <w:rPr>
          <w:color w:val="000000"/>
          <w:sz w:val="24"/>
          <w:szCs w:val="24"/>
        </w:rPr>
        <w:t>300</w:t>
      </w:r>
      <w:r>
        <w:rPr>
          <w:color w:val="000000"/>
          <w:sz w:val="24"/>
          <w:szCs w:val="24"/>
        </w:rPr>
        <w:t>行业分层等权重指数证券投资基金募集的文件；</w:t>
      </w:r>
    </w:p>
    <w:p w:rsidR="00DC10E8" w:rsidRDefault="00C7551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、《交银施罗德消费新驱动股票型证券投资基金基金合同》；</w:t>
      </w:r>
    </w:p>
    <w:p w:rsidR="00DC10E8" w:rsidRDefault="00C7551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、《交银施罗德消费新驱动股票型证券投资基金招募说明书》；</w:t>
      </w:r>
    </w:p>
    <w:p w:rsidR="00DC10E8" w:rsidRDefault="00C7551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、《交银施罗德消费新驱动股票型证券投资基金托管协议》；</w:t>
      </w:r>
    </w:p>
    <w:p w:rsidR="00DC10E8" w:rsidRDefault="00C75519">
      <w:pPr>
        <w:spacing w:before="29" w:line="288" w:lineRule="auto"/>
        <w:ind w:firstLineChars="200" w:firstLine="480"/>
        <w:rPr>
          <w:color w:val="000000"/>
          <w:sz w:val="24"/>
          <w:szCs w:val="24"/>
        </w:rPr>
      </w:pPr>
      <w:r>
        <w:rPr>
          <w:color w:val="000000"/>
          <w:sz w:val="24"/>
          <w:szCs w:val="24"/>
        </w:rPr>
        <w:t>5</w:t>
      </w:r>
      <w:r>
        <w:rPr>
          <w:color w:val="000000"/>
          <w:sz w:val="24"/>
          <w:szCs w:val="24"/>
        </w:rPr>
        <w:t>、《交银施罗德沪深</w:t>
      </w:r>
      <w:r>
        <w:rPr>
          <w:color w:val="000000"/>
          <w:sz w:val="24"/>
          <w:szCs w:val="24"/>
        </w:rPr>
        <w:t>300</w:t>
      </w:r>
      <w:r>
        <w:rPr>
          <w:color w:val="000000"/>
          <w:sz w:val="24"/>
          <w:szCs w:val="24"/>
        </w:rPr>
        <w:t>行业分层等权重指数证券投资基金基金合同》；</w:t>
      </w:r>
    </w:p>
    <w:p w:rsidR="00DC10E8" w:rsidRDefault="00C75519">
      <w:pPr>
        <w:spacing w:before="29" w:line="288" w:lineRule="auto"/>
        <w:ind w:firstLineChars="200" w:firstLine="480"/>
        <w:rPr>
          <w:color w:val="000000"/>
          <w:sz w:val="24"/>
          <w:szCs w:val="24"/>
        </w:rPr>
      </w:pPr>
      <w:r>
        <w:rPr>
          <w:color w:val="000000"/>
          <w:sz w:val="24"/>
          <w:szCs w:val="24"/>
        </w:rPr>
        <w:t>6</w:t>
      </w:r>
      <w:r>
        <w:rPr>
          <w:color w:val="000000"/>
          <w:sz w:val="24"/>
          <w:szCs w:val="24"/>
        </w:rPr>
        <w:t>、《交银施罗德沪深</w:t>
      </w:r>
      <w:r>
        <w:rPr>
          <w:color w:val="000000"/>
          <w:sz w:val="24"/>
          <w:szCs w:val="24"/>
        </w:rPr>
        <w:t>300</w:t>
      </w:r>
      <w:r>
        <w:rPr>
          <w:color w:val="000000"/>
          <w:sz w:val="24"/>
          <w:szCs w:val="24"/>
        </w:rPr>
        <w:t>行业分层等权重指数证券投资基金招募说明书》；</w:t>
      </w:r>
    </w:p>
    <w:p w:rsidR="00DC10E8" w:rsidRDefault="00C75519">
      <w:pPr>
        <w:spacing w:before="29" w:line="288" w:lineRule="auto"/>
        <w:ind w:firstLineChars="200" w:firstLine="480"/>
        <w:rPr>
          <w:color w:val="000000"/>
          <w:sz w:val="24"/>
          <w:szCs w:val="24"/>
        </w:rPr>
      </w:pPr>
      <w:r>
        <w:rPr>
          <w:color w:val="000000"/>
          <w:sz w:val="24"/>
          <w:szCs w:val="24"/>
        </w:rPr>
        <w:t>7</w:t>
      </w:r>
      <w:r>
        <w:rPr>
          <w:color w:val="000000"/>
          <w:sz w:val="24"/>
          <w:szCs w:val="24"/>
        </w:rPr>
        <w:t>、《交银施罗德沪深</w:t>
      </w:r>
      <w:r>
        <w:rPr>
          <w:color w:val="000000"/>
          <w:sz w:val="24"/>
          <w:szCs w:val="24"/>
        </w:rPr>
        <w:t>300</w:t>
      </w:r>
      <w:r>
        <w:rPr>
          <w:color w:val="000000"/>
          <w:sz w:val="24"/>
          <w:szCs w:val="24"/>
        </w:rPr>
        <w:t>行业分层等权重指数证券投资基金托管协议》；</w:t>
      </w:r>
    </w:p>
    <w:p w:rsidR="00DC10E8" w:rsidRDefault="00C75519">
      <w:pPr>
        <w:spacing w:before="29" w:line="288" w:lineRule="auto"/>
        <w:ind w:firstLineChars="200" w:firstLine="480"/>
        <w:rPr>
          <w:color w:val="000000"/>
          <w:sz w:val="24"/>
          <w:szCs w:val="24"/>
        </w:rPr>
      </w:pPr>
      <w:r>
        <w:rPr>
          <w:color w:val="000000"/>
          <w:sz w:val="24"/>
          <w:szCs w:val="24"/>
        </w:rPr>
        <w:lastRenderedPageBreak/>
        <w:t>8</w:t>
      </w:r>
      <w:r>
        <w:rPr>
          <w:color w:val="000000"/>
          <w:sz w:val="24"/>
          <w:szCs w:val="24"/>
        </w:rPr>
        <w:t>、基金管理人业务资格批件、营业执照；</w:t>
      </w:r>
    </w:p>
    <w:p w:rsidR="00DC10E8" w:rsidRDefault="00C75519">
      <w:pPr>
        <w:spacing w:before="29" w:line="288" w:lineRule="auto"/>
        <w:ind w:firstLineChars="200" w:firstLine="480"/>
        <w:rPr>
          <w:color w:val="000000"/>
          <w:sz w:val="24"/>
          <w:szCs w:val="24"/>
        </w:rPr>
      </w:pPr>
      <w:r>
        <w:rPr>
          <w:color w:val="000000"/>
          <w:sz w:val="24"/>
          <w:szCs w:val="24"/>
        </w:rPr>
        <w:t>9</w:t>
      </w:r>
      <w:r>
        <w:rPr>
          <w:color w:val="000000"/>
          <w:sz w:val="24"/>
          <w:szCs w:val="24"/>
        </w:rPr>
        <w:t>、基金托管人业务资格批件、营业执照；</w:t>
      </w:r>
    </w:p>
    <w:p w:rsidR="00DC10E8" w:rsidRDefault="00C75519">
      <w:pPr>
        <w:spacing w:before="29" w:line="288" w:lineRule="auto"/>
        <w:ind w:firstLineChars="200" w:firstLine="480"/>
        <w:rPr>
          <w:color w:val="000000"/>
          <w:sz w:val="24"/>
          <w:szCs w:val="24"/>
        </w:rPr>
      </w:pPr>
      <w:r>
        <w:rPr>
          <w:color w:val="000000"/>
          <w:sz w:val="24"/>
          <w:szCs w:val="24"/>
        </w:rPr>
        <w:t>10</w:t>
      </w:r>
      <w:r>
        <w:rPr>
          <w:color w:val="000000"/>
          <w:sz w:val="24"/>
          <w:szCs w:val="24"/>
        </w:rPr>
        <w:t>、关于申请募集交银施罗德沪深</w:t>
      </w:r>
      <w:r>
        <w:rPr>
          <w:color w:val="000000"/>
          <w:sz w:val="24"/>
          <w:szCs w:val="24"/>
        </w:rPr>
        <w:t>300</w:t>
      </w:r>
      <w:r>
        <w:rPr>
          <w:color w:val="000000"/>
          <w:sz w:val="24"/>
          <w:szCs w:val="24"/>
        </w:rPr>
        <w:t>行业分层等权重指数证券投资基金之法律意见书；</w:t>
      </w:r>
    </w:p>
    <w:p w:rsidR="00DC10E8" w:rsidRDefault="00C75519">
      <w:pPr>
        <w:spacing w:before="29" w:line="288" w:lineRule="auto"/>
        <w:ind w:firstLineChars="200" w:firstLine="480"/>
        <w:rPr>
          <w:color w:val="000000"/>
          <w:sz w:val="24"/>
          <w:szCs w:val="24"/>
        </w:rPr>
      </w:pPr>
      <w:r>
        <w:rPr>
          <w:color w:val="000000"/>
          <w:sz w:val="24"/>
          <w:szCs w:val="24"/>
        </w:rPr>
        <w:t>11</w:t>
      </w:r>
      <w:r>
        <w:rPr>
          <w:color w:val="000000"/>
          <w:sz w:val="24"/>
          <w:szCs w:val="24"/>
        </w:rPr>
        <w:t>、关于《申请交银施罗德沪深</w:t>
      </w:r>
      <w:r>
        <w:rPr>
          <w:color w:val="000000"/>
          <w:sz w:val="24"/>
          <w:szCs w:val="24"/>
        </w:rPr>
        <w:t>300</w:t>
      </w:r>
      <w:r>
        <w:rPr>
          <w:color w:val="000000"/>
          <w:sz w:val="24"/>
          <w:szCs w:val="24"/>
        </w:rPr>
        <w:t>行业分层等权重指数证券投资基金变更注册为交银施罗德消费新驱动股票型证券投资基金》的法律意见；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12</w:t>
      </w:r>
      <w:r w:rsidRPr="00414345">
        <w:rPr>
          <w:color w:val="000000"/>
          <w:sz w:val="24"/>
          <w:szCs w:val="24"/>
        </w:rPr>
        <w:t>、报告期内交银施罗德消费新驱动股票型证券投资基金、交银施罗德沪深</w:t>
      </w:r>
      <w:r w:rsidRPr="00414345">
        <w:rPr>
          <w:color w:val="000000"/>
          <w:sz w:val="24"/>
          <w:szCs w:val="24"/>
        </w:rPr>
        <w:t>300</w:t>
      </w:r>
      <w:r w:rsidRPr="00414345">
        <w:rPr>
          <w:color w:val="000000"/>
          <w:sz w:val="24"/>
          <w:szCs w:val="24"/>
        </w:rPr>
        <w:t>行业分层等权重指数证券投资基金在指定报刊上各项公告的原稿。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DC10E8" w:rsidRDefault="00C7551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519" w:rsidRDefault="00C75519" w:rsidP="00876D65">
      <w:r>
        <w:separator/>
      </w:r>
    </w:p>
  </w:endnote>
  <w:endnote w:type="continuationSeparator" w:id="0">
    <w:p w:rsidR="00C75519" w:rsidRDefault="00C7551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D933CE">
      <w:rPr>
        <w:noProof/>
        <w:kern w:val="0"/>
        <w:szCs w:val="21"/>
      </w:rPr>
      <w:t>5</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D933CE">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519" w:rsidRDefault="00C75519" w:rsidP="00876D65">
      <w:r>
        <w:separator/>
      </w:r>
    </w:p>
  </w:footnote>
  <w:footnote w:type="continuationSeparator" w:id="0">
    <w:p w:rsidR="00C75519" w:rsidRDefault="00C7551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交银施罗德消费新驱动股票型证券投资基金</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5519"/>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3CE"/>
    <w:rsid w:val="00D9393A"/>
    <w:rsid w:val="00D94B8D"/>
    <w:rsid w:val="00D96C8D"/>
    <w:rsid w:val="00D974EF"/>
    <w:rsid w:val="00DA0C61"/>
    <w:rsid w:val="00DA14B0"/>
    <w:rsid w:val="00DA2876"/>
    <w:rsid w:val="00DA66D0"/>
    <w:rsid w:val="00DC0B51"/>
    <w:rsid w:val="00DC10E8"/>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A4E84-EC3C-452D-B355-CC1ACEB8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12</Pages>
  <Words>1096</Words>
  <Characters>6248</Characters>
  <Application>Microsoft Office Word</Application>
  <DocSecurity>0</DocSecurity>
  <Lines>52</Lines>
  <Paragraphs>14</Paragraphs>
  <ScaleCrop>false</ScaleCrop>
  <Company/>
  <LinksUpToDate>false</LinksUpToDate>
  <CharactersWithSpaces>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598</cp:revision>
  <dcterms:created xsi:type="dcterms:W3CDTF">2012-10-16T06:07:00Z</dcterms:created>
  <dcterms:modified xsi:type="dcterms:W3CDTF">2019-10-18T03:28:00Z</dcterms:modified>
</cp:coreProperties>
</file>