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交银施罗德蓝筹混合型证券投资基金</w:t>
      </w:r>
    </w:p>
    <w:p w:rsidR="002279D3" w:rsidRPr="0081286B" w:rsidRDefault="002279D3" w:rsidP="00C15CAC">
      <w:pPr>
        <w:spacing w:before="29" w:line="288" w:lineRule="auto"/>
        <w:jc w:val="center"/>
        <w:rPr>
          <w:b/>
          <w:sz w:val="36"/>
          <w:szCs w:val="36"/>
        </w:rPr>
      </w:pPr>
      <w:r w:rsidRPr="0081286B">
        <w:rPr>
          <w:b/>
          <w:sz w:val="36"/>
          <w:szCs w:val="36"/>
        </w:rPr>
        <w:t>2019</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2019</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二〇一九年十月二十二日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F21BD" w:rsidRDefault="008648DF">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21</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基金的过往业绩并不代表其未来表现。投资有风</w:t>
      </w:r>
      <w:r>
        <w:rPr>
          <w:color w:val="000000"/>
          <w:sz w:val="24"/>
          <w:szCs w:val="24"/>
        </w:rPr>
        <w:t>险，投资者在作出投资决策前应仔细阅读本基金的招募说明书。</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2019</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交银蓝筹混合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2007</w:t>
            </w:r>
            <w:r w:rsidRPr="00414345">
              <w:rPr>
                <w:color w:val="000000"/>
                <w:kern w:val="0"/>
                <w:sz w:val="24"/>
                <w:szCs w:val="24"/>
              </w:rPr>
              <w:t>年</w:t>
            </w:r>
            <w:r w:rsidRPr="00414345">
              <w:rPr>
                <w:color w:val="000000"/>
                <w:kern w:val="0"/>
                <w:sz w:val="24"/>
                <w:szCs w:val="24"/>
              </w:rPr>
              <w:t>8</w:t>
            </w:r>
            <w:r w:rsidRPr="00414345">
              <w:rPr>
                <w:color w:val="000000"/>
                <w:kern w:val="0"/>
                <w:sz w:val="24"/>
                <w:szCs w:val="24"/>
              </w:rPr>
              <w:t>月</w:t>
            </w:r>
            <w:r w:rsidRPr="00414345">
              <w:rPr>
                <w:color w:val="000000"/>
                <w:kern w:val="0"/>
                <w:sz w:val="24"/>
                <w:szCs w:val="24"/>
              </w:rPr>
              <w:t>8</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2,078,847,455.98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一只蓝筹混合型基金，主要通过投资于业绩优良、发展稳定、在行业内占有支配性地位、分红稳定的蓝筹上市公司股票，在有效控制风险并保持基金资产良好流动性的前提下，追求在稳定分红的基础上实现基金资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中证</w:t>
            </w:r>
            <w:r w:rsidRPr="00414345">
              <w:rPr>
                <w:color w:val="000000"/>
                <w:kern w:val="0"/>
                <w:sz w:val="24"/>
                <w:szCs w:val="24"/>
              </w:rPr>
              <w:t>100</w:t>
            </w:r>
            <w:r w:rsidRPr="00414345">
              <w:rPr>
                <w:color w:val="000000"/>
                <w:kern w:val="0"/>
                <w:sz w:val="24"/>
                <w:szCs w:val="24"/>
              </w:rPr>
              <w:t>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本基金是一只混合型基金，以优质蓝筹股为主要投资</w:t>
            </w:r>
            <w:r w:rsidRPr="00414345">
              <w:rPr>
                <w:color w:val="000000"/>
                <w:kern w:val="0"/>
                <w:sz w:val="24"/>
                <w:szCs w:val="24"/>
              </w:rPr>
              <w:lastRenderedPageBreak/>
              <w:t>对象，其风险和预期收益高于债券型基金和货币市场基金，低于股票型基金。属于承担较高风险、预期收益较高的证券投资基金品种。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B93937" w:rsidRPr="00414345" w:rsidTr="00B93937">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(2019</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-2019</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B93937" w:rsidRPr="00414345" w:rsidTr="00B9393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116,351,130.74</w:t>
            </w:r>
          </w:p>
        </w:tc>
      </w:tr>
      <w:tr w:rsidR="00B93937" w:rsidRPr="00414345" w:rsidTr="00B9393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203,377,747.19</w:t>
            </w:r>
          </w:p>
        </w:tc>
      </w:tr>
      <w:tr w:rsidR="00B93937" w:rsidRPr="00414345" w:rsidTr="00B9393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0.0949</w:t>
            </w:r>
          </w:p>
        </w:tc>
      </w:tr>
      <w:tr w:rsidR="00B93937" w:rsidRPr="00414345" w:rsidTr="00B9393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2,114,551,330.36</w:t>
            </w:r>
          </w:p>
        </w:tc>
      </w:tr>
      <w:tr w:rsidR="00B93937" w:rsidRPr="00414345" w:rsidTr="00B93937">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1.0172</w:t>
            </w:r>
          </w:p>
        </w:tc>
      </w:tr>
    </w:tbl>
    <w:p w:rsidR="005F21BD" w:rsidRDefault="008648DF">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F21BD">
        <w:trPr>
          <w:jc w:val="center"/>
        </w:trPr>
        <w:tc>
          <w:tcPr>
            <w:tcW w:w="1701" w:type="dxa"/>
            <w:vAlign w:val="center"/>
          </w:tcPr>
          <w:p w:rsidR="005F21BD" w:rsidRDefault="008648DF">
            <w:pPr>
              <w:jc w:val="left"/>
            </w:pPr>
            <w:r>
              <w:rPr>
                <w:color w:val="000000"/>
                <w:sz w:val="24"/>
                <w:szCs w:val="24"/>
              </w:rPr>
              <w:t>过去三个月</w:t>
            </w:r>
          </w:p>
        </w:tc>
        <w:tc>
          <w:tcPr>
            <w:tcW w:w="1045" w:type="dxa"/>
            <w:vAlign w:val="center"/>
          </w:tcPr>
          <w:p w:rsidR="005F21BD" w:rsidRDefault="008648DF">
            <w:pPr>
              <w:jc w:val="center"/>
            </w:pPr>
            <w:r>
              <w:rPr>
                <w:color w:val="000000"/>
                <w:sz w:val="24"/>
                <w:szCs w:val="24"/>
              </w:rPr>
              <w:t>10.19%</w:t>
            </w:r>
          </w:p>
        </w:tc>
        <w:tc>
          <w:tcPr>
            <w:tcW w:w="1344" w:type="dxa"/>
            <w:vAlign w:val="center"/>
          </w:tcPr>
          <w:p w:rsidR="005F21BD" w:rsidRDefault="008648DF">
            <w:pPr>
              <w:jc w:val="center"/>
            </w:pPr>
            <w:r>
              <w:rPr>
                <w:color w:val="000000"/>
                <w:sz w:val="24"/>
                <w:szCs w:val="24"/>
              </w:rPr>
              <w:t>0.95%</w:t>
            </w:r>
          </w:p>
        </w:tc>
        <w:tc>
          <w:tcPr>
            <w:tcW w:w="1194" w:type="dxa"/>
            <w:vAlign w:val="center"/>
          </w:tcPr>
          <w:p w:rsidR="005F21BD" w:rsidRDefault="008648DF">
            <w:pPr>
              <w:jc w:val="center"/>
            </w:pPr>
            <w:r>
              <w:rPr>
                <w:color w:val="000000"/>
                <w:sz w:val="24"/>
                <w:szCs w:val="24"/>
              </w:rPr>
              <w:t>-0.16%</w:t>
            </w:r>
          </w:p>
        </w:tc>
        <w:tc>
          <w:tcPr>
            <w:tcW w:w="1492" w:type="dxa"/>
            <w:vAlign w:val="center"/>
          </w:tcPr>
          <w:p w:rsidR="005F21BD" w:rsidRDefault="008648DF">
            <w:pPr>
              <w:jc w:val="center"/>
            </w:pPr>
            <w:r>
              <w:rPr>
                <w:color w:val="000000"/>
                <w:sz w:val="24"/>
                <w:szCs w:val="24"/>
              </w:rPr>
              <w:t>0.70%</w:t>
            </w:r>
          </w:p>
        </w:tc>
        <w:tc>
          <w:tcPr>
            <w:tcW w:w="1194" w:type="dxa"/>
            <w:vAlign w:val="center"/>
          </w:tcPr>
          <w:p w:rsidR="005F21BD" w:rsidRDefault="008648DF">
            <w:pPr>
              <w:jc w:val="center"/>
            </w:pPr>
            <w:r>
              <w:rPr>
                <w:color w:val="000000"/>
                <w:sz w:val="24"/>
                <w:szCs w:val="24"/>
              </w:rPr>
              <w:t>10.35%</w:t>
            </w:r>
          </w:p>
        </w:tc>
        <w:tc>
          <w:tcPr>
            <w:tcW w:w="898" w:type="dxa"/>
            <w:vAlign w:val="center"/>
          </w:tcPr>
          <w:p w:rsidR="005F21BD" w:rsidRDefault="008648DF">
            <w:pPr>
              <w:jc w:val="center"/>
            </w:pPr>
            <w:r>
              <w:rPr>
                <w:color w:val="000000"/>
                <w:sz w:val="24"/>
                <w:szCs w:val="24"/>
              </w:rPr>
              <w:t>0.25%</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100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w:t>
      </w:r>
      <w:r w:rsidR="00C6002A" w:rsidRPr="00414345">
        <w:rPr>
          <w:b/>
          <w:bCs/>
          <w:color w:val="000000"/>
          <w:sz w:val="24"/>
        </w:rPr>
        <w:lastRenderedPageBreak/>
        <w:t>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交银施罗德蓝筹混合型证券投资基金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2007</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2019</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F21BD">
        <w:trPr>
          <w:jc w:val="center"/>
        </w:trPr>
        <w:tc>
          <w:tcPr>
            <w:tcW w:w="846" w:type="dxa"/>
            <w:vAlign w:val="center"/>
          </w:tcPr>
          <w:p w:rsidR="005F21BD" w:rsidRDefault="008648DF">
            <w:pPr>
              <w:jc w:val="center"/>
            </w:pPr>
            <w:r>
              <w:rPr>
                <w:color w:val="000000"/>
                <w:sz w:val="24"/>
                <w:szCs w:val="24"/>
              </w:rPr>
              <w:t>王少成</w:t>
            </w:r>
          </w:p>
        </w:tc>
        <w:tc>
          <w:tcPr>
            <w:tcW w:w="845" w:type="dxa"/>
            <w:vAlign w:val="center"/>
          </w:tcPr>
          <w:p w:rsidR="005F21BD" w:rsidRDefault="008648DF">
            <w:pPr>
              <w:jc w:val="center"/>
            </w:pPr>
            <w:r>
              <w:rPr>
                <w:color w:val="000000"/>
                <w:sz w:val="24"/>
                <w:szCs w:val="24"/>
              </w:rPr>
              <w:t>交银成长混合、交银蓝筹混合的基金经理，公司权</w:t>
            </w:r>
            <w:r>
              <w:rPr>
                <w:color w:val="000000"/>
                <w:sz w:val="24"/>
                <w:szCs w:val="24"/>
              </w:rPr>
              <w:lastRenderedPageBreak/>
              <w:t>益投资总监</w:t>
            </w:r>
          </w:p>
        </w:tc>
        <w:tc>
          <w:tcPr>
            <w:tcW w:w="1549" w:type="dxa"/>
            <w:vAlign w:val="center"/>
          </w:tcPr>
          <w:p w:rsidR="005F21BD" w:rsidRDefault="008648DF">
            <w:pPr>
              <w:jc w:val="center"/>
            </w:pPr>
            <w:r>
              <w:rPr>
                <w:color w:val="000000"/>
                <w:sz w:val="24"/>
                <w:szCs w:val="24"/>
              </w:rPr>
              <w:lastRenderedPageBreak/>
              <w:t>2018-09-28</w:t>
            </w:r>
          </w:p>
        </w:tc>
        <w:tc>
          <w:tcPr>
            <w:tcW w:w="1548" w:type="dxa"/>
            <w:vAlign w:val="center"/>
          </w:tcPr>
          <w:p w:rsidR="005F21BD" w:rsidRDefault="008648DF">
            <w:pPr>
              <w:jc w:val="center"/>
            </w:pPr>
            <w:r>
              <w:rPr>
                <w:color w:val="000000"/>
                <w:sz w:val="24"/>
                <w:szCs w:val="24"/>
              </w:rPr>
              <w:t>-</w:t>
            </w:r>
          </w:p>
        </w:tc>
        <w:tc>
          <w:tcPr>
            <w:tcW w:w="1407" w:type="dxa"/>
            <w:vAlign w:val="center"/>
          </w:tcPr>
          <w:p w:rsidR="005F21BD" w:rsidRDefault="008648DF">
            <w:pPr>
              <w:jc w:val="center"/>
            </w:pPr>
            <w:r>
              <w:rPr>
                <w:color w:val="000000"/>
                <w:sz w:val="24"/>
                <w:szCs w:val="24"/>
              </w:rPr>
              <w:t>15</w:t>
            </w:r>
            <w:r>
              <w:rPr>
                <w:color w:val="000000"/>
                <w:sz w:val="24"/>
                <w:szCs w:val="24"/>
              </w:rPr>
              <w:t>年</w:t>
            </w:r>
          </w:p>
        </w:tc>
        <w:tc>
          <w:tcPr>
            <w:tcW w:w="2673" w:type="dxa"/>
            <w:vAlign w:val="center"/>
          </w:tcPr>
          <w:p w:rsidR="005F21BD" w:rsidRDefault="008648DF">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szCs w:val="24"/>
              </w:rPr>
              <w:t>2010</w:t>
            </w:r>
            <w:r>
              <w:rPr>
                <w:color w:val="000000"/>
                <w:sz w:val="24"/>
                <w:szCs w:val="24"/>
              </w:rPr>
              <w:t>年</w:t>
            </w:r>
            <w:r>
              <w:rPr>
                <w:color w:val="000000"/>
                <w:sz w:val="24"/>
                <w:szCs w:val="24"/>
              </w:rPr>
              <w:t>9</w:t>
            </w:r>
            <w:r>
              <w:rPr>
                <w:color w:val="000000"/>
                <w:sz w:val="24"/>
                <w:szCs w:val="24"/>
              </w:rPr>
              <w:t>月至</w:t>
            </w:r>
            <w:r>
              <w:rPr>
                <w:color w:val="000000"/>
                <w:sz w:val="24"/>
                <w:szCs w:val="24"/>
              </w:rPr>
              <w:t>2012</w:t>
            </w:r>
            <w:r>
              <w:rPr>
                <w:color w:val="000000"/>
                <w:sz w:val="24"/>
                <w:szCs w:val="24"/>
              </w:rPr>
              <w:t>年</w:t>
            </w:r>
            <w:r>
              <w:rPr>
                <w:color w:val="000000"/>
                <w:sz w:val="24"/>
                <w:szCs w:val="24"/>
              </w:rPr>
              <w:t>10</w:t>
            </w:r>
            <w:r>
              <w:rPr>
                <w:color w:val="000000"/>
                <w:sz w:val="24"/>
                <w:szCs w:val="24"/>
              </w:rPr>
              <w:t>月担</w:t>
            </w:r>
            <w:r>
              <w:rPr>
                <w:color w:val="000000"/>
                <w:sz w:val="24"/>
                <w:szCs w:val="24"/>
              </w:rPr>
              <w:lastRenderedPageBreak/>
              <w:t>任东吴新创业股票型证券投资基金基金经理，</w:t>
            </w:r>
            <w:r>
              <w:rPr>
                <w:color w:val="000000"/>
                <w:sz w:val="24"/>
                <w:szCs w:val="24"/>
              </w:rPr>
              <w:t>2011</w:t>
            </w:r>
            <w:r>
              <w:rPr>
                <w:color w:val="000000"/>
                <w:sz w:val="24"/>
                <w:szCs w:val="24"/>
              </w:rPr>
              <w:t>年</w:t>
            </w:r>
            <w:r>
              <w:rPr>
                <w:color w:val="000000"/>
                <w:sz w:val="24"/>
                <w:szCs w:val="24"/>
              </w:rPr>
              <w:t>2</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月担任东吴中证新兴产业指数证券投资基金基金经理，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月担任东吴价值成长双动力股票型证券投资基金基金经理。</w:t>
            </w:r>
            <w:r>
              <w:rPr>
                <w:color w:val="000000"/>
                <w:sz w:val="24"/>
                <w:szCs w:val="24"/>
              </w:rPr>
              <w:t>2012</w:t>
            </w:r>
            <w:r>
              <w:rPr>
                <w:color w:val="000000"/>
                <w:sz w:val="24"/>
                <w:szCs w:val="24"/>
              </w:rPr>
              <w:t>年加入交银施罗德基金管理有限公司，历任公司权益部副总经理。</w:t>
            </w:r>
            <w:r>
              <w:rPr>
                <w:color w:val="000000"/>
                <w:sz w:val="24"/>
                <w:szCs w:val="24"/>
              </w:rPr>
              <w:t>2013</w:t>
            </w:r>
            <w:r>
              <w:rPr>
                <w:color w:val="000000"/>
                <w:sz w:val="24"/>
                <w:szCs w:val="24"/>
              </w:rPr>
              <w:t>年</w:t>
            </w:r>
            <w:r>
              <w:rPr>
                <w:color w:val="000000"/>
                <w:sz w:val="24"/>
                <w:szCs w:val="24"/>
              </w:rPr>
              <w:t>3</w:t>
            </w:r>
            <w:r>
              <w:rPr>
                <w:color w:val="000000"/>
                <w:sz w:val="24"/>
                <w:szCs w:val="24"/>
              </w:rPr>
              <w:t>月</w:t>
            </w:r>
            <w:r>
              <w:rPr>
                <w:color w:val="000000"/>
                <w:sz w:val="24"/>
                <w:szCs w:val="24"/>
              </w:rPr>
              <w:t>21</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w:t>
            </w:r>
            <w:r>
              <w:rPr>
                <w:color w:val="000000"/>
                <w:sz w:val="24"/>
                <w:szCs w:val="24"/>
              </w:rPr>
              <w:t>4</w:t>
            </w:r>
            <w:r>
              <w:rPr>
                <w:color w:val="000000"/>
                <w:sz w:val="24"/>
                <w:szCs w:val="24"/>
              </w:rPr>
              <w:t>日担任交银施罗德先进制造混合型证券投资基金（原交银施罗德先进制造股票证券投资基金）基金经理，</w:t>
            </w:r>
            <w:r>
              <w:rPr>
                <w:color w:val="000000"/>
                <w:sz w:val="24"/>
                <w:szCs w:val="24"/>
              </w:rPr>
              <w:t>2013</w:t>
            </w:r>
            <w:r>
              <w:rPr>
                <w:color w:val="000000"/>
                <w:sz w:val="24"/>
                <w:szCs w:val="24"/>
              </w:rPr>
              <w:t>年</w:t>
            </w:r>
            <w:r>
              <w:rPr>
                <w:color w:val="000000"/>
                <w:sz w:val="24"/>
                <w:szCs w:val="24"/>
              </w:rPr>
              <w:t>5</w:t>
            </w:r>
            <w:r>
              <w:rPr>
                <w:color w:val="000000"/>
                <w:sz w:val="24"/>
                <w:szCs w:val="24"/>
              </w:rPr>
              <w:t>月</w:t>
            </w:r>
            <w:r>
              <w:rPr>
                <w:color w:val="000000"/>
                <w:sz w:val="24"/>
                <w:szCs w:val="24"/>
              </w:rPr>
              <w:t>29</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日担任交银施罗德先锋混合型证券投资基金（原交银施罗德先锋股票证券投资基金）基金经理，</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7</w:t>
            </w:r>
            <w:r>
              <w:rPr>
                <w:color w:val="000000"/>
                <w:sz w:val="24"/>
                <w:szCs w:val="24"/>
              </w:rPr>
              <w:t>日至</w:t>
            </w:r>
            <w:r>
              <w:rPr>
                <w:color w:val="000000"/>
                <w:sz w:val="24"/>
                <w:szCs w:val="24"/>
              </w:rPr>
              <w:t>2018</w:t>
            </w:r>
            <w:r>
              <w:rPr>
                <w:color w:val="000000"/>
                <w:sz w:val="24"/>
                <w:szCs w:val="24"/>
              </w:rPr>
              <w:t>年</w:t>
            </w:r>
            <w:r>
              <w:rPr>
                <w:color w:val="000000"/>
                <w:sz w:val="24"/>
                <w:szCs w:val="24"/>
              </w:rPr>
              <w:t>5</w:t>
            </w:r>
            <w:r>
              <w:rPr>
                <w:color w:val="000000"/>
                <w:sz w:val="24"/>
                <w:szCs w:val="24"/>
              </w:rPr>
              <w:t>月</w:t>
            </w:r>
            <w:r>
              <w:rPr>
                <w:color w:val="000000"/>
                <w:sz w:val="24"/>
                <w:szCs w:val="24"/>
              </w:rPr>
              <w:t>15</w:t>
            </w:r>
            <w:r>
              <w:rPr>
                <w:color w:val="000000"/>
                <w:sz w:val="24"/>
                <w:szCs w:val="24"/>
              </w:rPr>
              <w:t>日担任交银施罗德荣和保本混合型证券投资基金的基金经理，</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7</w:t>
            </w:r>
            <w:r>
              <w:rPr>
                <w:color w:val="000000"/>
                <w:sz w:val="24"/>
                <w:szCs w:val="24"/>
              </w:rPr>
              <w:t>日至</w:t>
            </w:r>
            <w:r>
              <w:rPr>
                <w:color w:val="000000"/>
                <w:sz w:val="24"/>
                <w:szCs w:val="24"/>
              </w:rPr>
              <w:t>2018</w:t>
            </w:r>
            <w:r>
              <w:rPr>
                <w:color w:val="000000"/>
                <w:sz w:val="24"/>
                <w:szCs w:val="24"/>
              </w:rPr>
              <w:t>年</w:t>
            </w:r>
            <w:r>
              <w:rPr>
                <w:color w:val="000000"/>
                <w:sz w:val="24"/>
                <w:szCs w:val="24"/>
              </w:rPr>
              <w:t>6</w:t>
            </w:r>
            <w:r>
              <w:rPr>
                <w:color w:val="000000"/>
                <w:sz w:val="24"/>
                <w:szCs w:val="24"/>
              </w:rPr>
              <w:t>月</w:t>
            </w:r>
            <w:r>
              <w:rPr>
                <w:color w:val="000000"/>
                <w:sz w:val="24"/>
                <w:szCs w:val="24"/>
              </w:rPr>
              <w:t>7</w:t>
            </w:r>
            <w:r>
              <w:rPr>
                <w:color w:val="000000"/>
                <w:sz w:val="24"/>
                <w:szCs w:val="24"/>
              </w:rPr>
              <w:t>日担任交银施罗德策略回报灵活配置混合型证券投资基金的基金经理。</w:t>
            </w:r>
            <w:r>
              <w:rPr>
                <w:color w:val="000000"/>
                <w:sz w:val="24"/>
                <w:szCs w:val="24"/>
              </w:rPr>
              <w:t>2013</w:t>
            </w:r>
            <w:r>
              <w:rPr>
                <w:color w:val="000000"/>
                <w:sz w:val="24"/>
                <w:szCs w:val="24"/>
              </w:rPr>
              <w:t>年</w:t>
            </w:r>
            <w:r>
              <w:rPr>
                <w:color w:val="000000"/>
                <w:sz w:val="24"/>
                <w:szCs w:val="24"/>
              </w:rPr>
              <w:t>7</w:t>
            </w:r>
            <w:r>
              <w:rPr>
                <w:color w:val="000000"/>
                <w:sz w:val="24"/>
                <w:szCs w:val="24"/>
              </w:rPr>
              <w:t>月</w:t>
            </w:r>
            <w:r>
              <w:rPr>
                <w:color w:val="000000"/>
                <w:sz w:val="24"/>
                <w:szCs w:val="24"/>
              </w:rPr>
              <w:t>2</w:t>
            </w:r>
            <w:r>
              <w:rPr>
                <w:color w:val="000000"/>
                <w:sz w:val="24"/>
                <w:szCs w:val="24"/>
              </w:rPr>
              <w:t>日至</w:t>
            </w:r>
            <w:r>
              <w:rPr>
                <w:color w:val="000000"/>
                <w:sz w:val="24"/>
                <w:szCs w:val="24"/>
              </w:rPr>
              <w:t>2019</w:t>
            </w:r>
            <w:r>
              <w:rPr>
                <w:color w:val="000000"/>
                <w:sz w:val="24"/>
                <w:szCs w:val="24"/>
              </w:rPr>
              <w:t>年</w:t>
            </w:r>
            <w:r>
              <w:rPr>
                <w:color w:val="000000"/>
                <w:sz w:val="24"/>
                <w:szCs w:val="24"/>
              </w:rPr>
              <w:t>6</w:t>
            </w:r>
            <w:r>
              <w:rPr>
                <w:color w:val="000000"/>
                <w:sz w:val="24"/>
                <w:szCs w:val="24"/>
              </w:rPr>
              <w:t>月</w:t>
            </w:r>
            <w:r>
              <w:rPr>
                <w:color w:val="000000"/>
                <w:sz w:val="24"/>
                <w:szCs w:val="24"/>
              </w:rPr>
              <w:t>17</w:t>
            </w:r>
            <w:r>
              <w:rPr>
                <w:color w:val="000000"/>
                <w:sz w:val="24"/>
                <w:szCs w:val="24"/>
              </w:rPr>
              <w:t>日担任交银施罗德成长</w:t>
            </w:r>
            <w:r>
              <w:rPr>
                <w:color w:val="000000"/>
                <w:sz w:val="24"/>
                <w:szCs w:val="24"/>
              </w:rPr>
              <w:t>30</w:t>
            </w:r>
            <w:r>
              <w:rPr>
                <w:color w:val="000000"/>
                <w:sz w:val="24"/>
                <w:szCs w:val="24"/>
              </w:rPr>
              <w:t>混合型证券投资基金的基金经理。</w:t>
            </w:r>
            <w:r>
              <w:rPr>
                <w:color w:val="000000"/>
                <w:sz w:val="24"/>
                <w:szCs w:val="24"/>
              </w:rPr>
              <w:t>2018</w:t>
            </w:r>
            <w:r>
              <w:rPr>
                <w:color w:val="000000"/>
                <w:sz w:val="24"/>
                <w:szCs w:val="24"/>
              </w:rPr>
              <w:t>年</w:t>
            </w:r>
            <w:r>
              <w:rPr>
                <w:color w:val="000000"/>
                <w:sz w:val="24"/>
                <w:szCs w:val="24"/>
              </w:rPr>
              <w:t>8</w:t>
            </w:r>
            <w:r>
              <w:rPr>
                <w:color w:val="000000"/>
                <w:sz w:val="24"/>
                <w:szCs w:val="24"/>
              </w:rPr>
              <w:t>月</w:t>
            </w:r>
            <w:r>
              <w:rPr>
                <w:color w:val="000000"/>
                <w:sz w:val="24"/>
                <w:szCs w:val="24"/>
              </w:rPr>
              <w:t>24</w:t>
            </w:r>
            <w:r>
              <w:rPr>
                <w:color w:val="000000"/>
                <w:sz w:val="24"/>
                <w:szCs w:val="24"/>
              </w:rPr>
              <w:t>日至</w:t>
            </w:r>
            <w:r>
              <w:rPr>
                <w:color w:val="000000"/>
                <w:sz w:val="24"/>
                <w:szCs w:val="24"/>
              </w:rPr>
              <w:t>2019</w:t>
            </w:r>
            <w:r>
              <w:rPr>
                <w:color w:val="000000"/>
                <w:sz w:val="24"/>
                <w:szCs w:val="24"/>
              </w:rPr>
              <w:t>年</w:t>
            </w:r>
            <w:r>
              <w:rPr>
                <w:color w:val="000000"/>
                <w:sz w:val="24"/>
                <w:szCs w:val="24"/>
              </w:rPr>
              <w:t>8</w:t>
            </w:r>
            <w:r>
              <w:rPr>
                <w:color w:val="000000"/>
                <w:sz w:val="24"/>
                <w:szCs w:val="24"/>
              </w:rPr>
              <w:t>月</w:t>
            </w:r>
            <w:r>
              <w:rPr>
                <w:color w:val="000000"/>
                <w:sz w:val="24"/>
                <w:szCs w:val="24"/>
              </w:rPr>
              <w:t>28</w:t>
            </w:r>
            <w:r>
              <w:rPr>
                <w:color w:val="000000"/>
                <w:sz w:val="24"/>
                <w:szCs w:val="24"/>
              </w:rPr>
              <w:t>日担任交银施罗德恒益灵活配置混合型证券投资基金的基金经理。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F21BD" w:rsidRDefault="008648DF">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F21BD" w:rsidRDefault="008648DF">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F21BD" w:rsidRDefault="008648DF">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w:t>
      </w:r>
      <w:r>
        <w:rPr>
          <w:color w:val="000000"/>
          <w:sz w:val="24"/>
          <w:szCs w:val="24"/>
        </w:rPr>
        <w:t>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5F21BD" w:rsidRDefault="008648DF">
      <w:pPr>
        <w:spacing w:before="29" w:line="288" w:lineRule="auto"/>
        <w:ind w:firstLineChars="200" w:firstLine="480"/>
        <w:rPr>
          <w:color w:val="000000"/>
          <w:sz w:val="24"/>
          <w:szCs w:val="24"/>
        </w:rPr>
      </w:pPr>
      <w:r>
        <w:rPr>
          <w:color w:val="000000"/>
          <w:sz w:val="24"/>
          <w:szCs w:val="24"/>
        </w:rPr>
        <w:t>国内宏观经济尚处于探底的阶段。经济指标运行在合理区间，依然处于持续探底的阶段。考虑到宏观去杠杆和经济结构调整的压力仍在，四季度国内经济政策预计依然以托底为主，政策压力指标依然是就业，从社保缴纳、大学生就业等高频指标来观察，国内就业压力是持续增加的。人民币贬值压力相对可控。过去几个月人民币虽然对美元汇率是贬值的，但对新兴市场货币依然处于升值状态，这也成为海外投资者在人民币持贬值过程中持续增配</w:t>
      </w:r>
      <w:r>
        <w:rPr>
          <w:color w:val="000000"/>
          <w:sz w:val="24"/>
          <w:szCs w:val="24"/>
        </w:rPr>
        <w:t>A</w:t>
      </w:r>
      <w:r>
        <w:rPr>
          <w:color w:val="000000"/>
          <w:sz w:val="24"/>
          <w:szCs w:val="24"/>
        </w:rPr>
        <w:t>股的动力。从海外投资者配置行业方向来观察，对国内经济在四</w:t>
      </w:r>
      <w:r>
        <w:rPr>
          <w:color w:val="000000"/>
          <w:sz w:val="24"/>
          <w:szCs w:val="24"/>
        </w:rPr>
        <w:lastRenderedPageBreak/>
        <w:t>季度见底或者政府启动大规模的刺激性政策是有</w:t>
      </w:r>
      <w:bookmarkStart w:id="0" w:name="_GoBack"/>
      <w:bookmarkEnd w:id="0"/>
      <w:r>
        <w:rPr>
          <w:color w:val="000000"/>
          <w:sz w:val="24"/>
          <w:szCs w:val="24"/>
        </w:rPr>
        <w:t>预期的，这可能成为的</w:t>
      </w:r>
      <w:r>
        <w:rPr>
          <w:color w:val="000000"/>
          <w:sz w:val="24"/>
          <w:szCs w:val="24"/>
        </w:rPr>
        <w:t>内外投资者在未来一段时间一个显著的分歧。供给侧的通胀风险始终需要提防。在经历了长达十年缺乏通胀的时期，投资者最容易低估的就是通胀风险。考虑到长期</w:t>
      </w:r>
      <w:r>
        <w:rPr>
          <w:color w:val="000000"/>
          <w:sz w:val="24"/>
          <w:szCs w:val="24"/>
        </w:rPr>
        <w:t>QE</w:t>
      </w:r>
      <w:r>
        <w:rPr>
          <w:color w:val="000000"/>
          <w:sz w:val="24"/>
          <w:szCs w:val="24"/>
        </w:rPr>
        <w:t>使得资本持续的追逐资产价格而较少实体投资，未来通胀的故事可能更多是供给端的故事。</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2019</w:t>
      </w:r>
      <w:r w:rsidRPr="00414345">
        <w:rPr>
          <w:color w:val="000000"/>
          <w:sz w:val="24"/>
          <w:szCs w:val="24"/>
        </w:rPr>
        <w:t>年三季度</w:t>
      </w:r>
      <w:r w:rsidRPr="00414345">
        <w:rPr>
          <w:color w:val="000000"/>
          <w:sz w:val="24"/>
          <w:szCs w:val="24"/>
        </w:rPr>
        <w:t>A</w:t>
      </w:r>
      <w:r w:rsidRPr="00414345">
        <w:rPr>
          <w:color w:val="000000"/>
          <w:sz w:val="24"/>
          <w:szCs w:val="24"/>
        </w:rPr>
        <w:t>股受益于贸易谈判的阶段性缓和，市场风险偏好</w:t>
      </w:r>
      <w:r w:rsidR="00B93937">
        <w:rPr>
          <w:rFonts w:hint="eastAsia"/>
          <w:color w:val="000000"/>
          <w:sz w:val="24"/>
          <w:szCs w:val="24"/>
        </w:rPr>
        <w:t>持续</w:t>
      </w:r>
      <w:r w:rsidRPr="00414345">
        <w:rPr>
          <w:color w:val="000000"/>
          <w:sz w:val="24"/>
          <w:szCs w:val="24"/>
        </w:rPr>
        <w:t>攀升，以半导体为首的科技板块成为资金持续追逐的方向。展望</w:t>
      </w:r>
      <w:r w:rsidRPr="00414345">
        <w:rPr>
          <w:color w:val="000000"/>
          <w:sz w:val="24"/>
          <w:szCs w:val="24"/>
        </w:rPr>
        <w:t>2019</w:t>
      </w:r>
      <w:r w:rsidRPr="00414345">
        <w:rPr>
          <w:color w:val="000000"/>
          <w:sz w:val="24"/>
          <w:szCs w:val="24"/>
        </w:rPr>
        <w:t>年四季度，中美贸易谈判持续，国内经济持续探底，</w:t>
      </w:r>
      <w:r w:rsidRPr="00414345">
        <w:rPr>
          <w:color w:val="000000"/>
          <w:sz w:val="24"/>
          <w:szCs w:val="24"/>
        </w:rPr>
        <w:t>A</w:t>
      </w:r>
      <w:r w:rsidRPr="00414345">
        <w:rPr>
          <w:color w:val="000000"/>
          <w:sz w:val="24"/>
          <w:szCs w:val="24"/>
        </w:rPr>
        <w:t>股市场大概率预计还是结构性行情，具有业绩支撑的科技板块和抵抗经济下行周期的医药和大消费板块预计还会有持续的超额收益。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1,752,809,092.37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82.52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1,752,809,092.37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82.52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99,860,000.00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4.70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99,860,000.00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4.70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268,908,309.56</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12.66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2,638,232.31</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0.12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2,124,215,634.24</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1,317,671,252.26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62.31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26,152,256.75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185,815,600.30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8.79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38,266.20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5,005,875.00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0.24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189,957,423.86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8.98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2,323,170.00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0.11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25,845,248.00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1,752,809,092.37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82.89</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lastRenderedPageBreak/>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F21BD">
        <w:trPr>
          <w:jc w:val="center"/>
        </w:trPr>
        <w:tc>
          <w:tcPr>
            <w:tcW w:w="855" w:type="dxa"/>
            <w:vAlign w:val="center"/>
          </w:tcPr>
          <w:p w:rsidR="005F21BD" w:rsidRDefault="008648DF">
            <w:pPr>
              <w:jc w:val="center"/>
            </w:pPr>
            <w:r>
              <w:rPr>
                <w:color w:val="000000"/>
                <w:sz w:val="24"/>
                <w:szCs w:val="24"/>
              </w:rPr>
              <w:t>1</w:t>
            </w:r>
          </w:p>
        </w:tc>
        <w:tc>
          <w:tcPr>
            <w:tcW w:w="1334" w:type="dxa"/>
            <w:vAlign w:val="center"/>
          </w:tcPr>
          <w:p w:rsidR="005F21BD" w:rsidRDefault="008648DF">
            <w:pPr>
              <w:jc w:val="center"/>
            </w:pPr>
            <w:r>
              <w:rPr>
                <w:color w:val="000000"/>
                <w:sz w:val="24"/>
                <w:szCs w:val="24"/>
              </w:rPr>
              <w:t>002216</w:t>
            </w:r>
          </w:p>
        </w:tc>
        <w:tc>
          <w:tcPr>
            <w:tcW w:w="1777" w:type="dxa"/>
            <w:vAlign w:val="center"/>
          </w:tcPr>
          <w:p w:rsidR="005F21BD" w:rsidRDefault="008648DF">
            <w:pPr>
              <w:jc w:val="center"/>
            </w:pPr>
            <w:r>
              <w:rPr>
                <w:color w:val="000000"/>
                <w:sz w:val="24"/>
                <w:szCs w:val="24"/>
              </w:rPr>
              <w:t>三全食品</w:t>
            </w:r>
          </w:p>
        </w:tc>
        <w:tc>
          <w:tcPr>
            <w:tcW w:w="1334" w:type="dxa"/>
            <w:vAlign w:val="center"/>
          </w:tcPr>
          <w:p w:rsidR="005F21BD" w:rsidRDefault="008648DF">
            <w:pPr>
              <w:jc w:val="right"/>
            </w:pPr>
            <w:r>
              <w:rPr>
                <w:color w:val="000000"/>
                <w:sz w:val="24"/>
                <w:szCs w:val="24"/>
              </w:rPr>
              <w:t>20,773,902</w:t>
            </w:r>
          </w:p>
        </w:tc>
        <w:tc>
          <w:tcPr>
            <w:tcW w:w="1924" w:type="dxa"/>
            <w:vAlign w:val="center"/>
          </w:tcPr>
          <w:p w:rsidR="005F21BD" w:rsidRDefault="008648DF">
            <w:pPr>
              <w:jc w:val="right"/>
            </w:pPr>
            <w:r>
              <w:rPr>
                <w:color w:val="000000"/>
                <w:sz w:val="24"/>
                <w:szCs w:val="24"/>
              </w:rPr>
              <w:t>200,883,632.34</w:t>
            </w:r>
          </w:p>
        </w:tc>
        <w:tc>
          <w:tcPr>
            <w:tcW w:w="1644" w:type="dxa"/>
            <w:vAlign w:val="center"/>
          </w:tcPr>
          <w:p w:rsidR="005F21BD" w:rsidRDefault="008648DF">
            <w:pPr>
              <w:jc w:val="right"/>
            </w:pPr>
            <w:r>
              <w:rPr>
                <w:color w:val="000000"/>
                <w:sz w:val="24"/>
                <w:szCs w:val="24"/>
              </w:rPr>
              <w:t>9.50</w:t>
            </w:r>
          </w:p>
        </w:tc>
      </w:tr>
      <w:tr w:rsidR="005F21BD">
        <w:trPr>
          <w:jc w:val="center"/>
        </w:trPr>
        <w:tc>
          <w:tcPr>
            <w:tcW w:w="855" w:type="dxa"/>
            <w:vAlign w:val="center"/>
          </w:tcPr>
          <w:p w:rsidR="005F21BD" w:rsidRDefault="008648DF">
            <w:pPr>
              <w:jc w:val="center"/>
            </w:pPr>
            <w:r>
              <w:rPr>
                <w:color w:val="000000"/>
                <w:sz w:val="24"/>
                <w:szCs w:val="24"/>
              </w:rPr>
              <w:t>2</w:t>
            </w:r>
          </w:p>
        </w:tc>
        <w:tc>
          <w:tcPr>
            <w:tcW w:w="1334" w:type="dxa"/>
            <w:vAlign w:val="center"/>
          </w:tcPr>
          <w:p w:rsidR="005F21BD" w:rsidRDefault="008648DF">
            <w:pPr>
              <w:jc w:val="center"/>
            </w:pPr>
            <w:r>
              <w:rPr>
                <w:color w:val="000000"/>
                <w:sz w:val="24"/>
                <w:szCs w:val="24"/>
              </w:rPr>
              <w:t>002607</w:t>
            </w:r>
          </w:p>
        </w:tc>
        <w:tc>
          <w:tcPr>
            <w:tcW w:w="1777" w:type="dxa"/>
            <w:vAlign w:val="center"/>
          </w:tcPr>
          <w:p w:rsidR="005F21BD" w:rsidRDefault="008648DF">
            <w:pPr>
              <w:jc w:val="center"/>
            </w:pPr>
            <w:r>
              <w:rPr>
                <w:color w:val="000000"/>
                <w:sz w:val="24"/>
                <w:szCs w:val="24"/>
              </w:rPr>
              <w:t>中公教育</w:t>
            </w:r>
          </w:p>
        </w:tc>
        <w:tc>
          <w:tcPr>
            <w:tcW w:w="1334" w:type="dxa"/>
            <w:vAlign w:val="center"/>
          </w:tcPr>
          <w:p w:rsidR="005F21BD" w:rsidRDefault="008648DF">
            <w:pPr>
              <w:jc w:val="right"/>
            </w:pPr>
            <w:r>
              <w:rPr>
                <w:color w:val="000000"/>
                <w:sz w:val="24"/>
                <w:szCs w:val="24"/>
              </w:rPr>
              <w:t>11,675,318</w:t>
            </w:r>
          </w:p>
        </w:tc>
        <w:tc>
          <w:tcPr>
            <w:tcW w:w="1924" w:type="dxa"/>
            <w:vAlign w:val="center"/>
          </w:tcPr>
          <w:p w:rsidR="005F21BD" w:rsidRDefault="008648DF">
            <w:pPr>
              <w:jc w:val="right"/>
            </w:pPr>
            <w:r>
              <w:rPr>
                <w:color w:val="000000"/>
                <w:sz w:val="24"/>
                <w:szCs w:val="24"/>
              </w:rPr>
              <w:t>189,957,423.86</w:t>
            </w:r>
          </w:p>
        </w:tc>
        <w:tc>
          <w:tcPr>
            <w:tcW w:w="1644" w:type="dxa"/>
            <w:vAlign w:val="center"/>
          </w:tcPr>
          <w:p w:rsidR="005F21BD" w:rsidRDefault="008648DF">
            <w:pPr>
              <w:jc w:val="right"/>
            </w:pPr>
            <w:r>
              <w:rPr>
                <w:color w:val="000000"/>
                <w:sz w:val="24"/>
                <w:szCs w:val="24"/>
              </w:rPr>
              <w:t>8.98</w:t>
            </w:r>
          </w:p>
        </w:tc>
      </w:tr>
      <w:tr w:rsidR="005F21BD">
        <w:trPr>
          <w:jc w:val="center"/>
        </w:trPr>
        <w:tc>
          <w:tcPr>
            <w:tcW w:w="855" w:type="dxa"/>
            <w:vAlign w:val="center"/>
          </w:tcPr>
          <w:p w:rsidR="005F21BD" w:rsidRDefault="008648DF">
            <w:pPr>
              <w:jc w:val="center"/>
            </w:pPr>
            <w:r>
              <w:rPr>
                <w:color w:val="000000"/>
                <w:sz w:val="24"/>
                <w:szCs w:val="24"/>
              </w:rPr>
              <w:t>3</w:t>
            </w:r>
          </w:p>
        </w:tc>
        <w:tc>
          <w:tcPr>
            <w:tcW w:w="1334" w:type="dxa"/>
            <w:vAlign w:val="center"/>
          </w:tcPr>
          <w:p w:rsidR="005F21BD" w:rsidRDefault="008648DF">
            <w:pPr>
              <w:jc w:val="center"/>
            </w:pPr>
            <w:r>
              <w:rPr>
                <w:color w:val="000000"/>
                <w:sz w:val="24"/>
                <w:szCs w:val="24"/>
              </w:rPr>
              <w:t>603517</w:t>
            </w:r>
          </w:p>
        </w:tc>
        <w:tc>
          <w:tcPr>
            <w:tcW w:w="1777" w:type="dxa"/>
            <w:vAlign w:val="center"/>
          </w:tcPr>
          <w:p w:rsidR="005F21BD" w:rsidRDefault="008648DF">
            <w:pPr>
              <w:jc w:val="center"/>
            </w:pPr>
            <w:r>
              <w:rPr>
                <w:color w:val="000000"/>
                <w:sz w:val="24"/>
                <w:szCs w:val="24"/>
              </w:rPr>
              <w:t>绝味食品</w:t>
            </w:r>
          </w:p>
        </w:tc>
        <w:tc>
          <w:tcPr>
            <w:tcW w:w="1334" w:type="dxa"/>
            <w:vAlign w:val="center"/>
          </w:tcPr>
          <w:p w:rsidR="005F21BD" w:rsidRDefault="008648DF">
            <w:pPr>
              <w:jc w:val="right"/>
            </w:pPr>
            <w:r>
              <w:rPr>
                <w:color w:val="000000"/>
                <w:sz w:val="24"/>
                <w:szCs w:val="24"/>
              </w:rPr>
              <w:t>4,409,348</w:t>
            </w:r>
          </w:p>
        </w:tc>
        <w:tc>
          <w:tcPr>
            <w:tcW w:w="1924" w:type="dxa"/>
            <w:vAlign w:val="center"/>
          </w:tcPr>
          <w:p w:rsidR="005F21BD" w:rsidRDefault="008648DF">
            <w:pPr>
              <w:jc w:val="right"/>
            </w:pPr>
            <w:r>
              <w:rPr>
                <w:color w:val="000000"/>
                <w:sz w:val="24"/>
                <w:szCs w:val="24"/>
              </w:rPr>
              <w:t>178,843,154.88</w:t>
            </w:r>
          </w:p>
        </w:tc>
        <w:tc>
          <w:tcPr>
            <w:tcW w:w="1644" w:type="dxa"/>
            <w:vAlign w:val="center"/>
          </w:tcPr>
          <w:p w:rsidR="005F21BD" w:rsidRDefault="008648DF">
            <w:pPr>
              <w:jc w:val="right"/>
            </w:pPr>
            <w:r>
              <w:rPr>
                <w:color w:val="000000"/>
                <w:sz w:val="24"/>
                <w:szCs w:val="24"/>
              </w:rPr>
              <w:t>8.46</w:t>
            </w:r>
          </w:p>
        </w:tc>
      </w:tr>
      <w:tr w:rsidR="005F21BD">
        <w:trPr>
          <w:jc w:val="center"/>
        </w:trPr>
        <w:tc>
          <w:tcPr>
            <w:tcW w:w="855" w:type="dxa"/>
            <w:vAlign w:val="center"/>
          </w:tcPr>
          <w:p w:rsidR="005F21BD" w:rsidRDefault="008648DF">
            <w:pPr>
              <w:jc w:val="center"/>
            </w:pPr>
            <w:r>
              <w:rPr>
                <w:color w:val="000000"/>
                <w:sz w:val="24"/>
                <w:szCs w:val="24"/>
              </w:rPr>
              <w:t>4</w:t>
            </w:r>
          </w:p>
        </w:tc>
        <w:tc>
          <w:tcPr>
            <w:tcW w:w="1334" w:type="dxa"/>
            <w:vAlign w:val="center"/>
          </w:tcPr>
          <w:p w:rsidR="005F21BD" w:rsidRDefault="008648DF">
            <w:pPr>
              <w:jc w:val="center"/>
            </w:pPr>
            <w:r>
              <w:rPr>
                <w:color w:val="000000"/>
                <w:sz w:val="24"/>
                <w:szCs w:val="24"/>
              </w:rPr>
              <w:t>603707</w:t>
            </w:r>
          </w:p>
        </w:tc>
        <w:tc>
          <w:tcPr>
            <w:tcW w:w="1777" w:type="dxa"/>
            <w:vAlign w:val="center"/>
          </w:tcPr>
          <w:p w:rsidR="005F21BD" w:rsidRDefault="008648DF">
            <w:pPr>
              <w:jc w:val="center"/>
            </w:pPr>
            <w:r>
              <w:rPr>
                <w:color w:val="000000"/>
                <w:sz w:val="24"/>
                <w:szCs w:val="24"/>
              </w:rPr>
              <w:t>健友股份</w:t>
            </w:r>
          </w:p>
        </w:tc>
        <w:tc>
          <w:tcPr>
            <w:tcW w:w="1334" w:type="dxa"/>
            <w:vAlign w:val="center"/>
          </w:tcPr>
          <w:p w:rsidR="005F21BD" w:rsidRDefault="008648DF">
            <w:pPr>
              <w:jc w:val="right"/>
            </w:pPr>
            <w:r>
              <w:rPr>
                <w:color w:val="000000"/>
                <w:sz w:val="24"/>
                <w:szCs w:val="24"/>
              </w:rPr>
              <w:t>4,343,060</w:t>
            </w:r>
          </w:p>
        </w:tc>
        <w:tc>
          <w:tcPr>
            <w:tcW w:w="1924" w:type="dxa"/>
            <w:vAlign w:val="center"/>
          </w:tcPr>
          <w:p w:rsidR="005F21BD" w:rsidRDefault="008648DF">
            <w:pPr>
              <w:jc w:val="right"/>
            </w:pPr>
            <w:r>
              <w:rPr>
                <w:color w:val="000000"/>
                <w:sz w:val="24"/>
                <w:szCs w:val="24"/>
              </w:rPr>
              <w:t>161,344,679.00</w:t>
            </w:r>
          </w:p>
        </w:tc>
        <w:tc>
          <w:tcPr>
            <w:tcW w:w="1644" w:type="dxa"/>
            <w:vAlign w:val="center"/>
          </w:tcPr>
          <w:p w:rsidR="005F21BD" w:rsidRDefault="008648DF">
            <w:pPr>
              <w:jc w:val="right"/>
            </w:pPr>
            <w:r>
              <w:rPr>
                <w:color w:val="000000"/>
                <w:sz w:val="24"/>
                <w:szCs w:val="24"/>
              </w:rPr>
              <w:t>7.63</w:t>
            </w:r>
          </w:p>
        </w:tc>
      </w:tr>
      <w:tr w:rsidR="005F21BD">
        <w:trPr>
          <w:jc w:val="center"/>
        </w:trPr>
        <w:tc>
          <w:tcPr>
            <w:tcW w:w="855" w:type="dxa"/>
            <w:vAlign w:val="center"/>
          </w:tcPr>
          <w:p w:rsidR="005F21BD" w:rsidRDefault="008648DF">
            <w:pPr>
              <w:jc w:val="center"/>
            </w:pPr>
            <w:r>
              <w:rPr>
                <w:color w:val="000000"/>
                <w:sz w:val="24"/>
                <w:szCs w:val="24"/>
              </w:rPr>
              <w:t>5</w:t>
            </w:r>
          </w:p>
        </w:tc>
        <w:tc>
          <w:tcPr>
            <w:tcW w:w="1334" w:type="dxa"/>
            <w:vAlign w:val="center"/>
          </w:tcPr>
          <w:p w:rsidR="005F21BD" w:rsidRDefault="008648DF">
            <w:pPr>
              <w:jc w:val="center"/>
            </w:pPr>
            <w:r>
              <w:rPr>
                <w:color w:val="000000"/>
                <w:sz w:val="24"/>
                <w:szCs w:val="24"/>
              </w:rPr>
              <w:t>002180</w:t>
            </w:r>
          </w:p>
        </w:tc>
        <w:tc>
          <w:tcPr>
            <w:tcW w:w="1777" w:type="dxa"/>
            <w:vAlign w:val="center"/>
          </w:tcPr>
          <w:p w:rsidR="005F21BD" w:rsidRDefault="008648DF">
            <w:pPr>
              <w:jc w:val="center"/>
            </w:pPr>
            <w:r>
              <w:rPr>
                <w:color w:val="000000"/>
                <w:sz w:val="24"/>
                <w:szCs w:val="24"/>
              </w:rPr>
              <w:t>纳思达</w:t>
            </w:r>
          </w:p>
        </w:tc>
        <w:tc>
          <w:tcPr>
            <w:tcW w:w="1334" w:type="dxa"/>
            <w:vAlign w:val="center"/>
          </w:tcPr>
          <w:p w:rsidR="005F21BD" w:rsidRDefault="008648DF">
            <w:pPr>
              <w:jc w:val="right"/>
            </w:pPr>
            <w:r>
              <w:rPr>
                <w:color w:val="000000"/>
                <w:sz w:val="24"/>
                <w:szCs w:val="24"/>
              </w:rPr>
              <w:t>3,655,029</w:t>
            </w:r>
          </w:p>
        </w:tc>
        <w:tc>
          <w:tcPr>
            <w:tcW w:w="1924" w:type="dxa"/>
            <w:vAlign w:val="center"/>
          </w:tcPr>
          <w:p w:rsidR="005F21BD" w:rsidRDefault="008648DF">
            <w:pPr>
              <w:jc w:val="right"/>
            </w:pPr>
            <w:r>
              <w:rPr>
                <w:color w:val="000000"/>
                <w:sz w:val="24"/>
                <w:szCs w:val="24"/>
              </w:rPr>
              <w:t>108,627,461.88</w:t>
            </w:r>
          </w:p>
        </w:tc>
        <w:tc>
          <w:tcPr>
            <w:tcW w:w="1644" w:type="dxa"/>
            <w:vAlign w:val="center"/>
          </w:tcPr>
          <w:p w:rsidR="005F21BD" w:rsidRDefault="008648DF">
            <w:pPr>
              <w:jc w:val="right"/>
            </w:pPr>
            <w:r>
              <w:rPr>
                <w:color w:val="000000"/>
                <w:sz w:val="24"/>
                <w:szCs w:val="24"/>
              </w:rPr>
              <w:t>5.14</w:t>
            </w:r>
          </w:p>
        </w:tc>
      </w:tr>
      <w:tr w:rsidR="005F21BD">
        <w:trPr>
          <w:jc w:val="center"/>
        </w:trPr>
        <w:tc>
          <w:tcPr>
            <w:tcW w:w="855" w:type="dxa"/>
            <w:vAlign w:val="center"/>
          </w:tcPr>
          <w:p w:rsidR="005F21BD" w:rsidRDefault="008648DF">
            <w:pPr>
              <w:jc w:val="center"/>
            </w:pPr>
            <w:r>
              <w:rPr>
                <w:color w:val="000000"/>
                <w:sz w:val="24"/>
                <w:szCs w:val="24"/>
              </w:rPr>
              <w:t>6</w:t>
            </w:r>
          </w:p>
        </w:tc>
        <w:tc>
          <w:tcPr>
            <w:tcW w:w="1334" w:type="dxa"/>
            <w:vAlign w:val="center"/>
          </w:tcPr>
          <w:p w:rsidR="005F21BD" w:rsidRDefault="008648DF">
            <w:pPr>
              <w:jc w:val="center"/>
            </w:pPr>
            <w:r>
              <w:rPr>
                <w:color w:val="000000"/>
                <w:sz w:val="24"/>
                <w:szCs w:val="24"/>
              </w:rPr>
              <w:t>002230</w:t>
            </w:r>
          </w:p>
        </w:tc>
        <w:tc>
          <w:tcPr>
            <w:tcW w:w="1777" w:type="dxa"/>
            <w:vAlign w:val="center"/>
          </w:tcPr>
          <w:p w:rsidR="005F21BD" w:rsidRDefault="008648DF">
            <w:pPr>
              <w:jc w:val="center"/>
            </w:pPr>
            <w:r>
              <w:rPr>
                <w:color w:val="000000"/>
                <w:sz w:val="24"/>
                <w:szCs w:val="24"/>
              </w:rPr>
              <w:t>科大讯飞</w:t>
            </w:r>
          </w:p>
        </w:tc>
        <w:tc>
          <w:tcPr>
            <w:tcW w:w="1334" w:type="dxa"/>
            <w:vAlign w:val="center"/>
          </w:tcPr>
          <w:p w:rsidR="005F21BD" w:rsidRDefault="008648DF">
            <w:pPr>
              <w:jc w:val="right"/>
            </w:pPr>
            <w:r>
              <w:rPr>
                <w:color w:val="000000"/>
                <w:sz w:val="24"/>
                <w:szCs w:val="24"/>
              </w:rPr>
              <w:t>3,082,385</w:t>
            </w:r>
          </w:p>
        </w:tc>
        <w:tc>
          <w:tcPr>
            <w:tcW w:w="1924" w:type="dxa"/>
            <w:vAlign w:val="center"/>
          </w:tcPr>
          <w:p w:rsidR="005F21BD" w:rsidRDefault="008648DF">
            <w:pPr>
              <w:jc w:val="right"/>
            </w:pPr>
            <w:r>
              <w:rPr>
                <w:color w:val="000000"/>
                <w:sz w:val="24"/>
                <w:szCs w:val="24"/>
              </w:rPr>
              <w:t>98,204,786.10</w:t>
            </w:r>
          </w:p>
        </w:tc>
        <w:tc>
          <w:tcPr>
            <w:tcW w:w="1644" w:type="dxa"/>
            <w:vAlign w:val="center"/>
          </w:tcPr>
          <w:p w:rsidR="005F21BD" w:rsidRDefault="008648DF">
            <w:pPr>
              <w:jc w:val="right"/>
            </w:pPr>
            <w:r>
              <w:rPr>
                <w:color w:val="000000"/>
                <w:sz w:val="24"/>
                <w:szCs w:val="24"/>
              </w:rPr>
              <w:t>4.64</w:t>
            </w:r>
          </w:p>
        </w:tc>
      </w:tr>
      <w:tr w:rsidR="005F21BD">
        <w:trPr>
          <w:jc w:val="center"/>
        </w:trPr>
        <w:tc>
          <w:tcPr>
            <w:tcW w:w="855" w:type="dxa"/>
            <w:vAlign w:val="center"/>
          </w:tcPr>
          <w:p w:rsidR="005F21BD" w:rsidRDefault="008648DF">
            <w:pPr>
              <w:jc w:val="center"/>
            </w:pPr>
            <w:r>
              <w:rPr>
                <w:color w:val="000000"/>
                <w:sz w:val="24"/>
                <w:szCs w:val="24"/>
              </w:rPr>
              <w:t>7</w:t>
            </w:r>
          </w:p>
        </w:tc>
        <w:tc>
          <w:tcPr>
            <w:tcW w:w="1334" w:type="dxa"/>
            <w:vAlign w:val="center"/>
          </w:tcPr>
          <w:p w:rsidR="005F21BD" w:rsidRDefault="008648DF">
            <w:pPr>
              <w:jc w:val="center"/>
            </w:pPr>
            <w:r>
              <w:rPr>
                <w:color w:val="000000"/>
                <w:sz w:val="24"/>
                <w:szCs w:val="24"/>
              </w:rPr>
              <w:t>688008</w:t>
            </w:r>
          </w:p>
        </w:tc>
        <w:tc>
          <w:tcPr>
            <w:tcW w:w="1777" w:type="dxa"/>
            <w:vAlign w:val="center"/>
          </w:tcPr>
          <w:p w:rsidR="005F21BD" w:rsidRDefault="008648DF">
            <w:pPr>
              <w:jc w:val="center"/>
            </w:pPr>
            <w:r>
              <w:rPr>
                <w:color w:val="000000"/>
                <w:sz w:val="24"/>
                <w:szCs w:val="24"/>
              </w:rPr>
              <w:t>澜起科技</w:t>
            </w:r>
          </w:p>
        </w:tc>
        <w:tc>
          <w:tcPr>
            <w:tcW w:w="1334" w:type="dxa"/>
            <w:vAlign w:val="center"/>
          </w:tcPr>
          <w:p w:rsidR="005F21BD" w:rsidRDefault="008648DF">
            <w:pPr>
              <w:jc w:val="right"/>
            </w:pPr>
            <w:r>
              <w:rPr>
                <w:color w:val="000000"/>
                <w:sz w:val="24"/>
                <w:szCs w:val="24"/>
              </w:rPr>
              <w:t>1,538,370</w:t>
            </w:r>
          </w:p>
        </w:tc>
        <w:tc>
          <w:tcPr>
            <w:tcW w:w="1924" w:type="dxa"/>
            <w:vAlign w:val="center"/>
          </w:tcPr>
          <w:p w:rsidR="005F21BD" w:rsidRDefault="008648DF">
            <w:pPr>
              <w:jc w:val="right"/>
            </w:pPr>
            <w:r>
              <w:rPr>
                <w:color w:val="000000"/>
                <w:sz w:val="24"/>
                <w:szCs w:val="24"/>
              </w:rPr>
              <w:t>97,332,669.90</w:t>
            </w:r>
          </w:p>
        </w:tc>
        <w:tc>
          <w:tcPr>
            <w:tcW w:w="1644" w:type="dxa"/>
            <w:vAlign w:val="center"/>
          </w:tcPr>
          <w:p w:rsidR="005F21BD" w:rsidRDefault="008648DF">
            <w:pPr>
              <w:jc w:val="right"/>
            </w:pPr>
            <w:r>
              <w:rPr>
                <w:color w:val="000000"/>
                <w:sz w:val="24"/>
                <w:szCs w:val="24"/>
              </w:rPr>
              <w:t>4.60</w:t>
            </w:r>
          </w:p>
        </w:tc>
      </w:tr>
      <w:tr w:rsidR="005F21BD">
        <w:trPr>
          <w:jc w:val="center"/>
        </w:trPr>
        <w:tc>
          <w:tcPr>
            <w:tcW w:w="855" w:type="dxa"/>
            <w:vAlign w:val="center"/>
          </w:tcPr>
          <w:p w:rsidR="005F21BD" w:rsidRDefault="008648DF">
            <w:pPr>
              <w:jc w:val="center"/>
            </w:pPr>
            <w:r>
              <w:rPr>
                <w:color w:val="000000"/>
                <w:sz w:val="24"/>
                <w:szCs w:val="24"/>
              </w:rPr>
              <w:t>8</w:t>
            </w:r>
          </w:p>
        </w:tc>
        <w:tc>
          <w:tcPr>
            <w:tcW w:w="1334" w:type="dxa"/>
            <w:vAlign w:val="center"/>
          </w:tcPr>
          <w:p w:rsidR="005F21BD" w:rsidRDefault="008648DF">
            <w:pPr>
              <w:jc w:val="center"/>
            </w:pPr>
            <w:r>
              <w:rPr>
                <w:color w:val="000000"/>
                <w:sz w:val="24"/>
                <w:szCs w:val="24"/>
              </w:rPr>
              <w:t>600216</w:t>
            </w:r>
          </w:p>
        </w:tc>
        <w:tc>
          <w:tcPr>
            <w:tcW w:w="1777" w:type="dxa"/>
            <w:vAlign w:val="center"/>
          </w:tcPr>
          <w:p w:rsidR="005F21BD" w:rsidRDefault="008648DF">
            <w:pPr>
              <w:jc w:val="center"/>
            </w:pPr>
            <w:r>
              <w:rPr>
                <w:color w:val="000000"/>
                <w:sz w:val="24"/>
                <w:szCs w:val="24"/>
              </w:rPr>
              <w:t>浙江医药</w:t>
            </w:r>
          </w:p>
        </w:tc>
        <w:tc>
          <w:tcPr>
            <w:tcW w:w="1334" w:type="dxa"/>
            <w:vAlign w:val="center"/>
          </w:tcPr>
          <w:p w:rsidR="005F21BD" w:rsidRDefault="008648DF">
            <w:pPr>
              <w:jc w:val="right"/>
            </w:pPr>
            <w:r>
              <w:rPr>
                <w:color w:val="000000"/>
                <w:sz w:val="24"/>
                <w:szCs w:val="24"/>
              </w:rPr>
              <w:t>8,017,000</w:t>
            </w:r>
          </w:p>
        </w:tc>
        <w:tc>
          <w:tcPr>
            <w:tcW w:w="1924" w:type="dxa"/>
            <w:vAlign w:val="center"/>
          </w:tcPr>
          <w:p w:rsidR="005F21BD" w:rsidRDefault="008648DF">
            <w:pPr>
              <w:jc w:val="right"/>
            </w:pPr>
            <w:r>
              <w:rPr>
                <w:color w:val="000000"/>
                <w:sz w:val="24"/>
                <w:szCs w:val="24"/>
              </w:rPr>
              <w:t>91,794,650.00</w:t>
            </w:r>
          </w:p>
        </w:tc>
        <w:tc>
          <w:tcPr>
            <w:tcW w:w="1644" w:type="dxa"/>
            <w:vAlign w:val="center"/>
          </w:tcPr>
          <w:p w:rsidR="005F21BD" w:rsidRDefault="008648DF">
            <w:pPr>
              <w:jc w:val="right"/>
            </w:pPr>
            <w:r>
              <w:rPr>
                <w:color w:val="000000"/>
                <w:sz w:val="24"/>
                <w:szCs w:val="24"/>
              </w:rPr>
              <w:t>4.34</w:t>
            </w:r>
          </w:p>
        </w:tc>
      </w:tr>
      <w:tr w:rsidR="005F21BD">
        <w:trPr>
          <w:jc w:val="center"/>
        </w:trPr>
        <w:tc>
          <w:tcPr>
            <w:tcW w:w="855" w:type="dxa"/>
            <w:vAlign w:val="center"/>
          </w:tcPr>
          <w:p w:rsidR="005F21BD" w:rsidRDefault="008648DF">
            <w:pPr>
              <w:jc w:val="center"/>
            </w:pPr>
            <w:r>
              <w:rPr>
                <w:color w:val="000000"/>
                <w:sz w:val="24"/>
                <w:szCs w:val="24"/>
              </w:rPr>
              <w:t>9</w:t>
            </w:r>
          </w:p>
        </w:tc>
        <w:tc>
          <w:tcPr>
            <w:tcW w:w="1334" w:type="dxa"/>
            <w:vAlign w:val="center"/>
          </w:tcPr>
          <w:p w:rsidR="005F21BD" w:rsidRDefault="008648DF">
            <w:pPr>
              <w:jc w:val="center"/>
            </w:pPr>
            <w:r>
              <w:rPr>
                <w:color w:val="000000"/>
                <w:sz w:val="24"/>
                <w:szCs w:val="24"/>
              </w:rPr>
              <w:t>300146</w:t>
            </w:r>
          </w:p>
        </w:tc>
        <w:tc>
          <w:tcPr>
            <w:tcW w:w="1777" w:type="dxa"/>
            <w:vAlign w:val="center"/>
          </w:tcPr>
          <w:p w:rsidR="005F21BD" w:rsidRDefault="008648DF">
            <w:pPr>
              <w:jc w:val="center"/>
            </w:pPr>
            <w:r>
              <w:rPr>
                <w:color w:val="000000"/>
                <w:sz w:val="24"/>
                <w:szCs w:val="24"/>
              </w:rPr>
              <w:t>汤臣倍健</w:t>
            </w:r>
          </w:p>
        </w:tc>
        <w:tc>
          <w:tcPr>
            <w:tcW w:w="1334" w:type="dxa"/>
            <w:vAlign w:val="center"/>
          </w:tcPr>
          <w:p w:rsidR="005F21BD" w:rsidRDefault="008648DF">
            <w:pPr>
              <w:jc w:val="right"/>
            </w:pPr>
            <w:r>
              <w:rPr>
                <w:color w:val="000000"/>
                <w:sz w:val="24"/>
                <w:szCs w:val="24"/>
              </w:rPr>
              <w:t>3,665,484</w:t>
            </w:r>
          </w:p>
        </w:tc>
        <w:tc>
          <w:tcPr>
            <w:tcW w:w="1924" w:type="dxa"/>
            <w:vAlign w:val="center"/>
          </w:tcPr>
          <w:p w:rsidR="005F21BD" w:rsidRDefault="008648DF">
            <w:pPr>
              <w:jc w:val="right"/>
            </w:pPr>
            <w:r>
              <w:rPr>
                <w:color w:val="000000"/>
                <w:sz w:val="24"/>
                <w:szCs w:val="24"/>
              </w:rPr>
              <w:t>67,884,763.68</w:t>
            </w:r>
          </w:p>
        </w:tc>
        <w:tc>
          <w:tcPr>
            <w:tcW w:w="1644" w:type="dxa"/>
            <w:vAlign w:val="center"/>
          </w:tcPr>
          <w:p w:rsidR="005F21BD" w:rsidRDefault="008648DF">
            <w:pPr>
              <w:jc w:val="right"/>
            </w:pPr>
            <w:r>
              <w:rPr>
                <w:color w:val="000000"/>
                <w:sz w:val="24"/>
                <w:szCs w:val="24"/>
              </w:rPr>
              <w:t>3.21</w:t>
            </w:r>
          </w:p>
        </w:tc>
      </w:tr>
      <w:tr w:rsidR="005F21BD">
        <w:trPr>
          <w:jc w:val="center"/>
        </w:trPr>
        <w:tc>
          <w:tcPr>
            <w:tcW w:w="855" w:type="dxa"/>
            <w:vAlign w:val="center"/>
          </w:tcPr>
          <w:p w:rsidR="005F21BD" w:rsidRDefault="008648DF">
            <w:pPr>
              <w:jc w:val="center"/>
            </w:pPr>
            <w:r>
              <w:rPr>
                <w:color w:val="000000"/>
                <w:sz w:val="24"/>
                <w:szCs w:val="24"/>
              </w:rPr>
              <w:t>10</w:t>
            </w:r>
          </w:p>
        </w:tc>
        <w:tc>
          <w:tcPr>
            <w:tcW w:w="1334" w:type="dxa"/>
            <w:vAlign w:val="center"/>
          </w:tcPr>
          <w:p w:rsidR="005F21BD" w:rsidRDefault="008648DF">
            <w:pPr>
              <w:jc w:val="center"/>
            </w:pPr>
            <w:r>
              <w:rPr>
                <w:color w:val="000000"/>
                <w:sz w:val="24"/>
                <w:szCs w:val="24"/>
              </w:rPr>
              <w:t>600529</w:t>
            </w:r>
          </w:p>
        </w:tc>
        <w:tc>
          <w:tcPr>
            <w:tcW w:w="1777" w:type="dxa"/>
            <w:vAlign w:val="center"/>
          </w:tcPr>
          <w:p w:rsidR="005F21BD" w:rsidRDefault="008648DF">
            <w:pPr>
              <w:jc w:val="center"/>
            </w:pPr>
            <w:r>
              <w:rPr>
                <w:color w:val="000000"/>
                <w:sz w:val="24"/>
                <w:szCs w:val="24"/>
              </w:rPr>
              <w:t>山东药玻</w:t>
            </w:r>
          </w:p>
        </w:tc>
        <w:tc>
          <w:tcPr>
            <w:tcW w:w="1334" w:type="dxa"/>
            <w:vAlign w:val="center"/>
          </w:tcPr>
          <w:p w:rsidR="005F21BD" w:rsidRDefault="008648DF">
            <w:pPr>
              <w:jc w:val="right"/>
            </w:pPr>
            <w:r>
              <w:rPr>
                <w:color w:val="000000"/>
                <w:sz w:val="24"/>
                <w:szCs w:val="24"/>
              </w:rPr>
              <w:t>2,731,766</w:t>
            </w:r>
          </w:p>
        </w:tc>
        <w:tc>
          <w:tcPr>
            <w:tcW w:w="1924" w:type="dxa"/>
            <w:vAlign w:val="center"/>
          </w:tcPr>
          <w:p w:rsidR="005F21BD" w:rsidRDefault="008648DF">
            <w:pPr>
              <w:jc w:val="right"/>
            </w:pPr>
            <w:r>
              <w:rPr>
                <w:color w:val="000000"/>
                <w:sz w:val="24"/>
                <w:szCs w:val="24"/>
              </w:rPr>
              <w:t>63,704,783.12</w:t>
            </w:r>
          </w:p>
        </w:tc>
        <w:tc>
          <w:tcPr>
            <w:tcW w:w="1644" w:type="dxa"/>
            <w:vAlign w:val="center"/>
          </w:tcPr>
          <w:p w:rsidR="005F21BD" w:rsidRDefault="008648DF">
            <w:pPr>
              <w:jc w:val="right"/>
            </w:pPr>
            <w:r>
              <w:rPr>
                <w:color w:val="000000"/>
                <w:sz w:val="24"/>
                <w:szCs w:val="24"/>
              </w:rPr>
              <w:t>3.01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99,860,000.00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99,860,000.00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99,860,000.00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4.72</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5F21BD">
        <w:trPr>
          <w:jc w:val="center"/>
        </w:trPr>
        <w:tc>
          <w:tcPr>
            <w:tcW w:w="850" w:type="dxa"/>
            <w:vAlign w:val="center"/>
          </w:tcPr>
          <w:p w:rsidR="005F21BD" w:rsidRDefault="008648DF">
            <w:pPr>
              <w:jc w:val="center"/>
            </w:pPr>
            <w:r>
              <w:rPr>
                <w:color w:val="000000"/>
                <w:sz w:val="24"/>
                <w:szCs w:val="24"/>
              </w:rPr>
              <w:t>1</w:t>
            </w:r>
          </w:p>
        </w:tc>
        <w:tc>
          <w:tcPr>
            <w:tcW w:w="1475" w:type="dxa"/>
            <w:vAlign w:val="center"/>
          </w:tcPr>
          <w:p w:rsidR="005F21BD" w:rsidRDefault="008648DF">
            <w:pPr>
              <w:jc w:val="center"/>
            </w:pPr>
            <w:r>
              <w:rPr>
                <w:color w:val="000000"/>
                <w:sz w:val="24"/>
                <w:szCs w:val="24"/>
              </w:rPr>
              <w:t>190405</w:t>
            </w:r>
          </w:p>
        </w:tc>
        <w:tc>
          <w:tcPr>
            <w:tcW w:w="1769" w:type="dxa"/>
            <w:vAlign w:val="center"/>
          </w:tcPr>
          <w:p w:rsidR="005F21BD" w:rsidRDefault="008648DF">
            <w:pPr>
              <w:jc w:val="center"/>
            </w:pPr>
            <w:r>
              <w:rPr>
                <w:color w:val="000000"/>
                <w:sz w:val="24"/>
                <w:szCs w:val="24"/>
              </w:rPr>
              <w:t>19</w:t>
            </w:r>
            <w:r>
              <w:rPr>
                <w:color w:val="000000"/>
                <w:sz w:val="24"/>
                <w:szCs w:val="24"/>
              </w:rPr>
              <w:t>农发</w:t>
            </w:r>
            <w:r>
              <w:rPr>
                <w:color w:val="000000"/>
                <w:sz w:val="24"/>
                <w:szCs w:val="24"/>
              </w:rPr>
              <w:t>05</w:t>
            </w:r>
          </w:p>
        </w:tc>
        <w:tc>
          <w:tcPr>
            <w:tcW w:w="1387" w:type="dxa"/>
            <w:vAlign w:val="center"/>
          </w:tcPr>
          <w:p w:rsidR="005F21BD" w:rsidRDefault="008648DF">
            <w:pPr>
              <w:jc w:val="right"/>
            </w:pPr>
            <w:r>
              <w:rPr>
                <w:color w:val="000000"/>
                <w:sz w:val="24"/>
                <w:szCs w:val="24"/>
              </w:rPr>
              <w:t>1,000,000</w:t>
            </w:r>
          </w:p>
        </w:tc>
        <w:tc>
          <w:tcPr>
            <w:tcW w:w="2150" w:type="dxa"/>
            <w:vAlign w:val="center"/>
          </w:tcPr>
          <w:p w:rsidR="005F21BD" w:rsidRDefault="008648DF">
            <w:pPr>
              <w:jc w:val="right"/>
            </w:pPr>
            <w:r>
              <w:rPr>
                <w:color w:val="000000"/>
                <w:sz w:val="24"/>
                <w:szCs w:val="24"/>
              </w:rPr>
              <w:t>99,860,000.00</w:t>
            </w:r>
          </w:p>
        </w:tc>
        <w:tc>
          <w:tcPr>
            <w:tcW w:w="1237" w:type="dxa"/>
            <w:vAlign w:val="center"/>
          </w:tcPr>
          <w:p w:rsidR="005F21BD" w:rsidRDefault="008648DF">
            <w:pPr>
              <w:jc w:val="right"/>
            </w:pPr>
            <w:r>
              <w:rPr>
                <w:color w:val="000000"/>
                <w:sz w:val="24"/>
                <w:szCs w:val="24"/>
              </w:rPr>
              <w:t>4.72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463,086.25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1,382,453.30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726,910.93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65,781.83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2,638,232.31</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2,180,741,922.40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13,449,623.76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115,344,090.18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2,078,847,455.98</w:t>
            </w:r>
          </w:p>
        </w:tc>
      </w:tr>
    </w:tbl>
    <w:p w:rsidR="005F21BD" w:rsidRDefault="008648DF">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lastRenderedPageBreak/>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5F21BD" w:rsidRDefault="008648DF">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、中国证监会批准交银施罗德蓝筹股票证券投资基金募集的文件；</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、《交银施罗德蓝筹混合型证券投资基金基金合同》；</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、《交银施罗德蓝筹混合型证券投资基金招募说明书》；</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、《交银施罗德蓝筹混合型证券投资基金托管协议》；</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、关于募集交银施罗德蓝筹股票证券投资基金之法律意见书；</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5F21BD" w:rsidRDefault="008648DF">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、报告期内交银施罗德蓝筹混合型证券投资基金在指定报刊上各项公告的原稿。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5F21BD" w:rsidRDefault="008648DF">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8DF" w:rsidRDefault="008648DF" w:rsidP="00876D65">
      <w:r>
        <w:separator/>
      </w:r>
    </w:p>
  </w:endnote>
  <w:endnote w:type="continuationSeparator" w:id="0">
    <w:p w:rsidR="008648DF" w:rsidRDefault="008648DF"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B93937">
      <w:rPr>
        <w:noProof/>
        <w:kern w:val="0"/>
        <w:szCs w:val="21"/>
      </w:rPr>
      <w:t>6</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B93937">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8DF" w:rsidRDefault="008648DF" w:rsidP="00876D65">
      <w:r>
        <w:separator/>
      </w:r>
    </w:p>
  </w:footnote>
  <w:footnote w:type="continuationSeparator" w:id="0">
    <w:p w:rsidR="008648DF" w:rsidRDefault="008648DF"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交银施罗德蓝筹混合型证券投资基金</w:t>
    </w:r>
    <w:r w:rsidRPr="003E676C">
      <w:rPr>
        <w:sz w:val="24"/>
        <w:szCs w:val="24"/>
      </w:rPr>
      <w:t>2019</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21BD"/>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648DF"/>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3937"/>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3E32-8FBA-41A5-A6E1-5CE94F84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12</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598</cp:revision>
  <dcterms:created xsi:type="dcterms:W3CDTF">2012-10-16T06:07:00Z</dcterms:created>
  <dcterms:modified xsi:type="dcterms:W3CDTF">2019-10-18T03:21:00Z</dcterms:modified>
</cp:coreProperties>
</file>