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交银施罗德致远量化智投策略定期开放混合型证券投资基金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2018年5月18日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79,899,354.91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75%×上证国债指数收益率+25%×沪深300指数收益率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598,590.41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651,314.54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0.0082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81,826,939.86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0.80%</w:t>
            </w:r>
          </w:p>
        </w:tc>
        <w:tc>
          <w:tcPr>
            <w:vAlign w:val="center"/>
          </w:tcPr>
          <w:p>
            <w:pPr>
              <w:jc w:val="center"/>
            </w:pPr>
            <w:r>
              <w:rPr>
                <w:color w:val="000000"/>
                <w:sz w:val="24"/>
                <w:szCs w:val="24"/>
              </w:rPr>
              <w:t>0.23%</w:t>
            </w:r>
          </w:p>
        </w:tc>
        <w:tc>
          <w:tcPr>
            <w:vAlign w:val="center"/>
          </w:tcPr>
          <w:p>
            <w:pPr>
              <w:jc w:val="center"/>
            </w:pPr>
            <w:r>
              <w:rPr>
                <w:color w:val="000000"/>
                <w:sz w:val="24"/>
                <w:szCs w:val="24"/>
              </w:rPr>
              <w:t>0.94%</w:t>
            </w:r>
          </w:p>
        </w:tc>
        <w:tc>
          <w:tcPr>
            <w:vAlign w:val="center"/>
          </w:tcPr>
          <w:p>
            <w:pPr>
              <w:jc w:val="center"/>
            </w:pPr>
            <w:r>
              <w:rPr>
                <w:color w:val="000000"/>
                <w:sz w:val="24"/>
                <w:szCs w:val="24"/>
              </w:rPr>
              <w:t>0.24%</w:t>
            </w:r>
          </w:p>
        </w:tc>
        <w:tc>
          <w:tcPr>
            <w:vAlign w:val="center"/>
          </w:tcPr>
          <w:p>
            <w:pPr>
              <w:jc w:val="center"/>
            </w:pPr>
            <w:r>
              <w:rPr>
                <w:color w:val="000000"/>
                <w:sz w:val="24"/>
                <w:szCs w:val="24"/>
              </w:rPr>
              <w:t>-0.14%</w:t>
            </w:r>
          </w:p>
        </w:tc>
        <w:tc>
          <w:tcPr>
            <w:vAlign w:val="center"/>
          </w:tcPr>
          <w:p>
            <w:pPr>
              <w:jc w:val="center"/>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2018年5月18日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2018年5月18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蔡铮</w:t>
            </w:r>
          </w:p>
        </w:tc>
        <w:tc>
          <w:tcPr>
            <w:vAlign w:val="center"/>
          </w:tcPr>
          <w:p>
            <w:pPr>
              <w:jc w:val="center"/>
            </w:pPr>
            <w:r>
              <w:rPr>
                <w:color w:val="000000"/>
                <w:sz w:val="24"/>
                <w:szCs w:val="24"/>
              </w:rPr>
              <w:t>交银上证180公司治理ETF及其联接、交银深证300价值ETF及其联接、交银国证新能源指数分级、交银中证海外中国互联网指数（QDII-LOF)、交银中证互联网金融指数分级、交银中证环境治理指数（LOF）、交银致远智投混合的基金经理，公司量化投资副总监兼多元资产管理副总监</w:t>
            </w:r>
          </w:p>
        </w:tc>
        <w:tc>
          <w:tcPr>
            <w:vAlign w:val="center"/>
          </w:tcPr>
          <w:p>
            <w:pPr>
              <w:jc w:val="center"/>
            </w:pPr>
            <w:r>
              <w:rPr>
                <w:color w:val="000000"/>
                <w:sz w:val="24"/>
                <w:szCs w:val="24"/>
              </w:rPr>
              <w:t>2018-05-18</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国内宏观环境基本稳定，经济走势稳中偏弱，政策面支持力度加大。受需求端拖累和外部不确定性影响，国内制造业投资面临一定压力，但消费和基建的温和回暖为国内经济带来支撑。在此经济背景下，三季度A股市场延续震荡态势，估值水平基本稳定，市场风险偏好有所上升，科技类品种受到较强关注。债券市场三季度稳步上行。在上述市场环境下，本基金采取定期不定额的模式进行投资，固定收益部分配置了较高信用等级的固定收益资产作为收益增强，净值表现总体呈现震荡上行的走势。</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我们认为宏观经济仍然面临一定压力，但随着政策和改革的推进，新兴产业作为经济增长新动力也将提速发展。四季度是国内宏观政策的重要时间窗口，预计针对内外部环境将会有更多稳增长政策出台。国内市场经历年初的火爆现已回归冷静，维持区间震荡，估值水平基本稳定，从中长期来看我们对A股市场仍维持谨慎乐观的看法。</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19,423,093.53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19,423,093.53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23.66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48,889,000.00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48,889,000.00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59.55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13,264,906.64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16.16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522,861.59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82,099,861.76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183,372.00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283,939.00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9,046,119.25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709,428.00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689,224.00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558,440.68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780,067.20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55,560.00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0.07</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923,176.80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4,368,414.00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1,081,071.80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50,510.00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17,897.00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283,788.00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219,023.00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173,062.80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19,423,093.53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23.74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8,100</w:t>
            </w:r>
          </w:p>
        </w:tc>
        <w:tc>
          <w:tcPr>
            <w:vAlign w:val="center"/>
          </w:tcPr>
          <w:p>
            <w:pPr>
              <w:jc w:val="right"/>
            </w:pPr>
            <w:r>
              <w:rPr>
                <w:color w:val="000000"/>
                <w:sz w:val="24"/>
                <w:szCs w:val="24"/>
              </w:rPr>
              <w:t>705,024.00</w:t>
            </w:r>
          </w:p>
        </w:tc>
        <w:tc>
          <w:tcPr>
            <w:vAlign w:val="center"/>
          </w:tcPr>
          <w:p>
            <w:pPr>
              <w:jc w:val="right"/>
            </w:pPr>
            <w:r>
              <w:rPr>
                <w:color w:val="000000"/>
                <w:sz w:val="24"/>
                <w:szCs w:val="24"/>
              </w:rPr>
              <w:t>0.86</w:t>
            </w:r>
          </w:p>
        </w:tc>
      </w:tr>
      <w:tr>
        <w:tc>
          <w:tcPr>
            <w:vAlign w:val="center"/>
          </w:tcPr>
          <w:p>
            <w:pPr>
              <w:jc w:val="center"/>
            </w:pPr>
            <w:r>
              <w:rPr>
                <w:color w:val="000000"/>
                <w:sz w:val="24"/>
                <w:szCs w:val="24"/>
              </w:rPr>
              <w:t>2</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28,600</w:t>
            </w:r>
          </w:p>
        </w:tc>
        <w:tc>
          <w:tcPr>
            <w:vAlign w:val="center"/>
          </w:tcPr>
          <w:p>
            <w:pPr>
              <w:jc w:val="right"/>
            </w:pPr>
            <w:r>
              <w:rPr>
                <w:color w:val="000000"/>
                <w:sz w:val="24"/>
                <w:szCs w:val="24"/>
              </w:rPr>
              <w:t>700,700.00</w:t>
            </w:r>
          </w:p>
        </w:tc>
        <w:tc>
          <w:tcPr>
            <w:vAlign w:val="center"/>
          </w:tcPr>
          <w:p>
            <w:pPr>
              <w:jc w:val="right"/>
            </w:pPr>
            <w:r>
              <w:rPr>
                <w:color w:val="000000"/>
                <w:sz w:val="24"/>
                <w:szCs w:val="24"/>
              </w:rPr>
              <w:t>0.86</w:t>
            </w:r>
          </w:p>
        </w:tc>
      </w:tr>
      <w:tr>
        <w:tc>
          <w:tcPr>
            <w:vAlign w:val="center"/>
          </w:tcPr>
          <w:p>
            <w:pPr>
              <w:jc w:val="center"/>
            </w:pPr>
            <w:r>
              <w:rPr>
                <w:color w:val="000000"/>
                <w:sz w:val="24"/>
                <w:szCs w:val="24"/>
              </w:rPr>
              <w:t>3</w:t>
            </w:r>
          </w:p>
        </w:tc>
        <w:tc>
          <w:tcPr>
            <w:vAlign w:val="center"/>
          </w:tcPr>
          <w:p>
            <w:pPr>
              <w:jc w:val="center"/>
            </w:pPr>
            <w:r>
              <w:rPr>
                <w:color w:val="000000"/>
                <w:sz w:val="24"/>
                <w:szCs w:val="24"/>
              </w:rPr>
              <w:t>600143</w:t>
            </w:r>
          </w:p>
        </w:tc>
        <w:tc>
          <w:tcPr>
            <w:vAlign w:val="center"/>
          </w:tcPr>
          <w:p>
            <w:pPr>
              <w:jc w:val="center"/>
            </w:pPr>
            <w:r>
              <w:rPr>
                <w:color w:val="000000"/>
                <w:sz w:val="24"/>
                <w:szCs w:val="24"/>
              </w:rPr>
              <w:t>金发科技</w:t>
            </w:r>
          </w:p>
        </w:tc>
        <w:tc>
          <w:tcPr>
            <w:vAlign w:val="center"/>
          </w:tcPr>
          <w:p>
            <w:pPr>
              <w:jc w:val="right"/>
            </w:pPr>
            <w:r>
              <w:rPr>
                <w:color w:val="000000"/>
                <w:sz w:val="24"/>
                <w:szCs w:val="24"/>
              </w:rPr>
              <w:t>56,600</w:t>
            </w:r>
          </w:p>
        </w:tc>
        <w:tc>
          <w:tcPr>
            <w:vAlign w:val="center"/>
          </w:tcPr>
          <w:p>
            <w:pPr>
              <w:jc w:val="right"/>
            </w:pPr>
            <w:r>
              <w:rPr>
                <w:color w:val="000000"/>
                <w:sz w:val="24"/>
                <w:szCs w:val="24"/>
              </w:rPr>
              <w:t>374,126.00</w:t>
            </w:r>
          </w:p>
        </w:tc>
        <w:tc>
          <w:tcPr>
            <w:vAlign w:val="center"/>
          </w:tcPr>
          <w:p>
            <w:pPr>
              <w:jc w:val="right"/>
            </w:pPr>
            <w:r>
              <w:rPr>
                <w:color w:val="000000"/>
                <w:sz w:val="24"/>
                <w:szCs w:val="24"/>
              </w:rPr>
              <w:t>0.46</w:t>
            </w:r>
          </w:p>
        </w:tc>
      </w:tr>
      <w:tr>
        <w:tc>
          <w:tcPr>
            <w:vAlign w:val="center"/>
          </w:tcPr>
          <w:p>
            <w:pPr>
              <w:jc w:val="center"/>
            </w:pPr>
            <w:r>
              <w:rPr>
                <w:color w:val="000000"/>
                <w:sz w:val="24"/>
                <w:szCs w:val="24"/>
              </w:rPr>
              <w:t>4</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4,600</w:t>
            </w:r>
          </w:p>
        </w:tc>
        <w:tc>
          <w:tcPr>
            <w:vAlign w:val="center"/>
          </w:tcPr>
          <w:p>
            <w:pPr>
              <w:jc w:val="right"/>
            </w:pPr>
            <w:r>
              <w:rPr>
                <w:color w:val="000000"/>
                <w:sz w:val="24"/>
                <w:szCs w:val="24"/>
              </w:rPr>
              <w:t>371,128.00</w:t>
            </w:r>
          </w:p>
        </w:tc>
        <w:tc>
          <w:tcPr>
            <w:vAlign w:val="center"/>
          </w:tcPr>
          <w:p>
            <w:pPr>
              <w:jc w:val="right"/>
            </w:pPr>
            <w:r>
              <w:rPr>
                <w:color w:val="000000"/>
                <w:sz w:val="24"/>
                <w:szCs w:val="24"/>
              </w:rPr>
              <w:t>0.45</w:t>
            </w:r>
          </w:p>
        </w:tc>
      </w:tr>
      <w:tr>
        <w:tc>
          <w:tcPr>
            <w:vAlign w:val="center"/>
          </w:tcPr>
          <w:p>
            <w:pPr>
              <w:jc w:val="center"/>
            </w:pPr>
            <w:r>
              <w:rPr>
                <w:color w:val="000000"/>
                <w:sz w:val="24"/>
                <w:szCs w:val="24"/>
              </w:rPr>
              <w:t>5</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7,100</w:t>
            </w:r>
          </w:p>
        </w:tc>
        <w:tc>
          <w:tcPr>
            <w:vAlign w:val="center"/>
          </w:tcPr>
          <w:p>
            <w:pPr>
              <w:jc w:val="right"/>
            </w:pPr>
            <w:r>
              <w:rPr>
                <w:color w:val="000000"/>
                <w:sz w:val="24"/>
                <w:szCs w:val="24"/>
              </w:rPr>
              <w:t>362,810.00</w:t>
            </w:r>
          </w:p>
        </w:tc>
        <w:tc>
          <w:tcPr>
            <w:vAlign w:val="center"/>
          </w:tcPr>
          <w:p>
            <w:pPr>
              <w:jc w:val="right"/>
            </w:pPr>
            <w:r>
              <w:rPr>
                <w:color w:val="000000"/>
                <w:sz w:val="24"/>
                <w:szCs w:val="24"/>
              </w:rPr>
              <w:t>0.44</w:t>
            </w:r>
          </w:p>
        </w:tc>
      </w:tr>
      <w:tr>
        <w:tc>
          <w:tcPr>
            <w:vAlign w:val="center"/>
          </w:tcPr>
          <w:p>
            <w:pPr>
              <w:jc w:val="center"/>
            </w:pPr>
            <w:r>
              <w:rPr>
                <w:color w:val="000000"/>
                <w:sz w:val="24"/>
                <w:szCs w:val="24"/>
              </w:rPr>
              <w:t>6</w:t>
            </w:r>
          </w:p>
        </w:tc>
        <w:tc>
          <w:tcPr>
            <w:vAlign w:val="center"/>
          </w:tcPr>
          <w:p>
            <w:pPr>
              <w:jc w:val="center"/>
            </w:pPr>
            <w:r>
              <w:rPr>
                <w:color w:val="000000"/>
                <w:sz w:val="24"/>
                <w:szCs w:val="24"/>
              </w:rPr>
              <w:t>601872</w:t>
            </w:r>
          </w:p>
        </w:tc>
        <w:tc>
          <w:tcPr>
            <w:vAlign w:val="center"/>
          </w:tcPr>
          <w:p>
            <w:pPr>
              <w:jc w:val="center"/>
            </w:pPr>
            <w:r>
              <w:rPr>
                <w:color w:val="000000"/>
                <w:sz w:val="24"/>
                <w:szCs w:val="24"/>
              </w:rPr>
              <w:t>招商轮船</w:t>
            </w:r>
          </w:p>
        </w:tc>
        <w:tc>
          <w:tcPr>
            <w:vAlign w:val="center"/>
          </w:tcPr>
          <w:p>
            <w:pPr>
              <w:jc w:val="right"/>
            </w:pPr>
            <w:r>
              <w:rPr>
                <w:color w:val="000000"/>
                <w:sz w:val="24"/>
                <w:szCs w:val="24"/>
              </w:rPr>
              <w:t>72,400</w:t>
            </w:r>
          </w:p>
        </w:tc>
        <w:tc>
          <w:tcPr>
            <w:vAlign w:val="center"/>
          </w:tcPr>
          <w:p>
            <w:pPr>
              <w:jc w:val="right"/>
            </w:pPr>
            <w:r>
              <w:rPr>
                <w:color w:val="000000"/>
                <w:sz w:val="24"/>
                <w:szCs w:val="24"/>
              </w:rPr>
              <w:t>345,348.00</w:t>
            </w:r>
          </w:p>
        </w:tc>
        <w:tc>
          <w:tcPr>
            <w:vAlign w:val="center"/>
          </w:tcPr>
          <w:p>
            <w:pPr>
              <w:jc w:val="right"/>
            </w:pPr>
            <w:r>
              <w:rPr>
                <w:color w:val="000000"/>
                <w:sz w:val="24"/>
                <w:szCs w:val="24"/>
              </w:rPr>
              <w:t>0.42</w:t>
            </w:r>
          </w:p>
        </w:tc>
      </w:tr>
      <w:tr>
        <w:tc>
          <w:tcPr>
            <w:vAlign w:val="center"/>
          </w:tcPr>
          <w:p>
            <w:pPr>
              <w:jc w:val="center"/>
            </w:pPr>
            <w:r>
              <w:rPr>
                <w:color w:val="000000"/>
                <w:sz w:val="24"/>
                <w:szCs w:val="24"/>
              </w:rPr>
              <w:t>7</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300</w:t>
            </w:r>
          </w:p>
        </w:tc>
        <w:tc>
          <w:tcPr>
            <w:vAlign w:val="center"/>
          </w:tcPr>
          <w:p>
            <w:pPr>
              <w:jc w:val="right"/>
            </w:pPr>
            <w:r>
              <w:rPr>
                <w:color w:val="000000"/>
                <w:sz w:val="24"/>
                <w:szCs w:val="24"/>
              </w:rPr>
              <w:t>345,000.00</w:t>
            </w:r>
          </w:p>
        </w:tc>
        <w:tc>
          <w:tcPr>
            <w:vAlign w:val="center"/>
          </w:tcPr>
          <w:p>
            <w:pPr>
              <w:jc w:val="right"/>
            </w:pPr>
            <w:r>
              <w:rPr>
                <w:color w:val="000000"/>
                <w:sz w:val="24"/>
                <w:szCs w:val="24"/>
              </w:rPr>
              <w:t>0.42</w:t>
            </w:r>
          </w:p>
        </w:tc>
      </w:tr>
      <w:tr>
        <w:tc>
          <w:tcPr>
            <w:vAlign w:val="center"/>
          </w:tcPr>
          <w:p>
            <w:pPr>
              <w:jc w:val="center"/>
            </w:pPr>
            <w:r>
              <w:rPr>
                <w:color w:val="000000"/>
                <w:sz w:val="24"/>
                <w:szCs w:val="24"/>
              </w:rPr>
              <w:t>8</w:t>
            </w:r>
          </w:p>
        </w:tc>
        <w:tc>
          <w:tcPr>
            <w:vAlign w:val="center"/>
          </w:tcPr>
          <w:p>
            <w:pPr>
              <w:jc w:val="center"/>
            </w:pPr>
            <w:r>
              <w:rPr>
                <w:color w:val="000000"/>
                <w:sz w:val="24"/>
                <w:szCs w:val="24"/>
              </w:rPr>
              <w:t>600016</w:t>
            </w:r>
          </w:p>
        </w:tc>
        <w:tc>
          <w:tcPr>
            <w:vAlign w:val="center"/>
          </w:tcPr>
          <w:p>
            <w:pPr>
              <w:jc w:val="center"/>
            </w:pPr>
            <w:r>
              <w:rPr>
                <w:color w:val="000000"/>
                <w:sz w:val="24"/>
                <w:szCs w:val="24"/>
              </w:rPr>
              <w:t>民生银行</w:t>
            </w:r>
          </w:p>
        </w:tc>
        <w:tc>
          <w:tcPr>
            <w:vAlign w:val="center"/>
          </w:tcPr>
          <w:p>
            <w:pPr>
              <w:jc w:val="right"/>
            </w:pPr>
            <w:r>
              <w:rPr>
                <w:color w:val="000000"/>
                <w:sz w:val="24"/>
                <w:szCs w:val="24"/>
              </w:rPr>
              <w:t>47,200</w:t>
            </w:r>
          </w:p>
        </w:tc>
        <w:tc>
          <w:tcPr>
            <w:vAlign w:val="center"/>
          </w:tcPr>
          <w:p>
            <w:pPr>
              <w:jc w:val="right"/>
            </w:pPr>
            <w:r>
              <w:rPr>
                <w:color w:val="000000"/>
                <w:sz w:val="24"/>
                <w:szCs w:val="24"/>
              </w:rPr>
              <w:t>284,144.00</w:t>
            </w:r>
          </w:p>
        </w:tc>
        <w:tc>
          <w:tcPr>
            <w:vAlign w:val="center"/>
          </w:tcPr>
          <w:p>
            <w:pPr>
              <w:jc w:val="right"/>
            </w:pPr>
            <w:r>
              <w:rPr>
                <w:color w:val="000000"/>
                <w:sz w:val="24"/>
                <w:szCs w:val="24"/>
              </w:rPr>
              <w:t>0.35</w:t>
            </w:r>
          </w:p>
        </w:tc>
      </w:tr>
      <w:tr>
        <w:tc>
          <w:tcPr>
            <w:vAlign w:val="center"/>
          </w:tcPr>
          <w:p>
            <w:pPr>
              <w:jc w:val="center"/>
            </w:pPr>
            <w:r>
              <w:rPr>
                <w:color w:val="000000"/>
                <w:sz w:val="24"/>
                <w:szCs w:val="24"/>
              </w:rPr>
              <w:t>9</w:t>
            </w:r>
          </w:p>
        </w:tc>
        <w:tc>
          <w:tcPr>
            <w:vAlign w:val="center"/>
          </w:tcPr>
          <w:p>
            <w:pPr>
              <w:jc w:val="center"/>
            </w:pPr>
            <w:r>
              <w:rPr>
                <w:color w:val="000000"/>
                <w:sz w:val="24"/>
                <w:szCs w:val="24"/>
              </w:rPr>
              <w:t>600000</w:t>
            </w:r>
          </w:p>
        </w:tc>
        <w:tc>
          <w:tcPr>
            <w:vAlign w:val="center"/>
          </w:tcPr>
          <w:p>
            <w:pPr>
              <w:jc w:val="center"/>
            </w:pPr>
            <w:r>
              <w:rPr>
                <w:color w:val="000000"/>
                <w:sz w:val="24"/>
                <w:szCs w:val="24"/>
              </w:rPr>
              <w:t>浦发银行</w:t>
            </w:r>
          </w:p>
        </w:tc>
        <w:tc>
          <w:tcPr>
            <w:vAlign w:val="center"/>
          </w:tcPr>
          <w:p>
            <w:pPr>
              <w:jc w:val="right"/>
            </w:pPr>
            <w:r>
              <w:rPr>
                <w:color w:val="000000"/>
                <w:sz w:val="24"/>
                <w:szCs w:val="24"/>
              </w:rPr>
              <w:t>23,400</w:t>
            </w:r>
          </w:p>
        </w:tc>
        <w:tc>
          <w:tcPr>
            <w:vAlign w:val="center"/>
          </w:tcPr>
          <w:p>
            <w:pPr>
              <w:jc w:val="right"/>
            </w:pPr>
            <w:r>
              <w:rPr>
                <w:color w:val="000000"/>
                <w:sz w:val="24"/>
                <w:szCs w:val="24"/>
              </w:rPr>
              <w:t>277,056.00</w:t>
            </w:r>
          </w:p>
        </w:tc>
        <w:tc>
          <w:tcPr>
            <w:vAlign w:val="center"/>
          </w:tcPr>
          <w:p>
            <w:pPr>
              <w:jc w:val="right"/>
            </w:pPr>
            <w:r>
              <w:rPr>
                <w:color w:val="000000"/>
                <w:sz w:val="24"/>
                <w:szCs w:val="24"/>
              </w:rPr>
              <w:t>0.34</w:t>
            </w:r>
          </w:p>
        </w:tc>
      </w:tr>
      <w:tr>
        <w:tc>
          <w:tcPr>
            <w:vAlign w:val="center"/>
          </w:tcPr>
          <w:p>
            <w:pPr>
              <w:jc w:val="center"/>
            </w:pPr>
            <w:r>
              <w:rPr>
                <w:color w:val="000000"/>
                <w:sz w:val="24"/>
                <w:szCs w:val="24"/>
              </w:rPr>
              <w:t>10</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8,400</w:t>
            </w:r>
          </w:p>
        </w:tc>
        <w:tc>
          <w:tcPr>
            <w:vAlign w:val="center"/>
          </w:tcPr>
          <w:p>
            <w:pPr>
              <w:jc w:val="right"/>
            </w:pPr>
            <w:r>
              <w:rPr>
                <w:color w:val="000000"/>
                <w:sz w:val="24"/>
                <w:szCs w:val="24"/>
              </w:rPr>
              <w:t>271,488.00</w:t>
            </w:r>
          </w:p>
        </w:tc>
        <w:tc>
          <w:tcPr>
            <w:vAlign w:val="center"/>
          </w:tcPr>
          <w:p>
            <w:pPr>
              <w:jc w:val="right"/>
            </w:pPr>
            <w:r>
              <w:rPr>
                <w:color w:val="000000"/>
                <w:sz w:val="24"/>
                <w:szCs w:val="24"/>
              </w:rPr>
              <w:t>0.33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48,889,000.00</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59.75</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48,889,000.00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59.75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111905063</w:t>
            </w:r>
          </w:p>
        </w:tc>
        <w:tc>
          <w:tcPr>
            <w:vAlign w:val="center"/>
          </w:tcPr>
          <w:p>
            <w:pPr>
              <w:jc w:val="center"/>
            </w:pPr>
            <w:r>
              <w:rPr>
                <w:color w:val="000000"/>
                <w:sz w:val="24"/>
                <w:szCs w:val="24"/>
              </w:rPr>
              <w:t>19建设银行CD063</w:t>
            </w:r>
          </w:p>
        </w:tc>
        <w:tc>
          <w:tcPr>
            <w:vAlign w:val="center"/>
          </w:tcPr>
          <w:p>
            <w:pPr>
              <w:jc w:val="right"/>
            </w:pPr>
            <w:r>
              <w:rPr>
                <w:color w:val="000000"/>
                <w:sz w:val="24"/>
                <w:szCs w:val="24"/>
              </w:rPr>
              <w:t>100,000</w:t>
            </w:r>
          </w:p>
        </w:tc>
        <w:tc>
          <w:tcPr>
            <w:vAlign w:val="center"/>
          </w:tcPr>
          <w:p>
            <w:pPr>
              <w:jc w:val="right"/>
            </w:pPr>
            <w:r>
              <w:rPr>
                <w:color w:val="000000"/>
                <w:sz w:val="24"/>
                <w:szCs w:val="24"/>
              </w:rPr>
              <w:t>9,781,000.00</w:t>
            </w:r>
          </w:p>
        </w:tc>
        <w:tc>
          <w:tcPr>
            <w:vAlign w:val="center"/>
          </w:tcPr>
          <w:p>
            <w:pPr>
              <w:jc w:val="right"/>
            </w:pPr>
            <w:r>
              <w:rPr>
                <w:color w:val="000000"/>
                <w:sz w:val="24"/>
                <w:szCs w:val="24"/>
              </w:rPr>
              <w:t>11.95</w:t>
            </w:r>
          </w:p>
        </w:tc>
      </w:tr>
      <w:tr>
        <w:tc>
          <w:tcPr>
            <w:vAlign w:val="center"/>
          </w:tcPr>
          <w:p>
            <w:pPr>
              <w:jc w:val="center"/>
            </w:pPr>
            <w:r>
              <w:rPr>
                <w:color w:val="000000"/>
                <w:sz w:val="24"/>
                <w:szCs w:val="24"/>
              </w:rPr>
              <w:t>2</w:t>
            </w:r>
          </w:p>
        </w:tc>
        <w:tc>
          <w:tcPr>
            <w:vAlign w:val="center"/>
          </w:tcPr>
          <w:p>
            <w:pPr>
              <w:jc w:val="center"/>
            </w:pPr>
            <w:r>
              <w:rPr>
                <w:color w:val="000000"/>
                <w:sz w:val="24"/>
                <w:szCs w:val="24"/>
              </w:rPr>
              <w:t>111918186</w:t>
            </w:r>
          </w:p>
        </w:tc>
        <w:tc>
          <w:tcPr>
            <w:vAlign w:val="center"/>
          </w:tcPr>
          <w:p>
            <w:pPr>
              <w:jc w:val="center"/>
            </w:pPr>
            <w:r>
              <w:rPr>
                <w:color w:val="000000"/>
                <w:sz w:val="24"/>
                <w:szCs w:val="24"/>
              </w:rPr>
              <w:t>19华夏银行CD186</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11.95</w:t>
            </w:r>
          </w:p>
        </w:tc>
      </w:tr>
      <w:tr>
        <w:tc>
          <w:tcPr>
            <w:vAlign w:val="center"/>
          </w:tcPr>
          <w:p>
            <w:pPr>
              <w:jc w:val="center"/>
            </w:pPr>
            <w:r>
              <w:rPr>
                <w:color w:val="000000"/>
                <w:sz w:val="24"/>
                <w:szCs w:val="24"/>
              </w:rPr>
              <w:t>3</w:t>
            </w:r>
          </w:p>
        </w:tc>
        <w:tc>
          <w:tcPr>
            <w:vAlign w:val="center"/>
          </w:tcPr>
          <w:p>
            <w:pPr>
              <w:jc w:val="center"/>
            </w:pPr>
            <w:r>
              <w:rPr>
                <w:color w:val="000000"/>
                <w:sz w:val="24"/>
                <w:szCs w:val="24"/>
              </w:rPr>
              <w:t>111915226</w:t>
            </w:r>
          </w:p>
        </w:tc>
        <w:tc>
          <w:tcPr>
            <w:vAlign w:val="center"/>
          </w:tcPr>
          <w:p>
            <w:pPr>
              <w:jc w:val="center"/>
            </w:pPr>
            <w:r>
              <w:rPr>
                <w:color w:val="000000"/>
                <w:sz w:val="24"/>
                <w:szCs w:val="24"/>
              </w:rPr>
              <w:t>19民生银行CD226</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11.95</w:t>
            </w:r>
          </w:p>
        </w:tc>
      </w:tr>
      <w:tr>
        <w:tc>
          <w:tcPr>
            <w:vAlign w:val="center"/>
          </w:tcPr>
          <w:p>
            <w:pPr>
              <w:jc w:val="center"/>
            </w:pPr>
            <w:r>
              <w:rPr>
                <w:color w:val="000000"/>
                <w:sz w:val="24"/>
                <w:szCs w:val="24"/>
              </w:rPr>
              <w:t>4</w:t>
            </w:r>
          </w:p>
        </w:tc>
        <w:tc>
          <w:tcPr>
            <w:vAlign w:val="center"/>
          </w:tcPr>
          <w:p>
            <w:pPr>
              <w:jc w:val="center"/>
            </w:pPr>
            <w:r>
              <w:rPr>
                <w:color w:val="000000"/>
                <w:sz w:val="24"/>
                <w:szCs w:val="24"/>
              </w:rPr>
              <w:t>111909177</w:t>
            </w:r>
          </w:p>
        </w:tc>
        <w:tc>
          <w:tcPr>
            <w:vAlign w:val="center"/>
          </w:tcPr>
          <w:p>
            <w:pPr>
              <w:jc w:val="center"/>
            </w:pPr>
            <w:r>
              <w:rPr>
                <w:color w:val="000000"/>
                <w:sz w:val="24"/>
                <w:szCs w:val="24"/>
              </w:rPr>
              <w:t>19浦发银行CD177</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11.95</w:t>
            </w:r>
          </w:p>
        </w:tc>
      </w:tr>
      <w:tr>
        <w:tc>
          <w:tcPr>
            <w:vAlign w:val="center"/>
          </w:tcPr>
          <w:p>
            <w:pPr>
              <w:jc w:val="center"/>
            </w:pPr>
            <w:r>
              <w:rPr>
                <w:color w:val="000000"/>
                <w:sz w:val="24"/>
                <w:szCs w:val="24"/>
              </w:rPr>
              <w:t>5</w:t>
            </w:r>
          </w:p>
        </w:tc>
        <w:tc>
          <w:tcPr>
            <w:vAlign w:val="center"/>
          </w:tcPr>
          <w:p>
            <w:pPr>
              <w:jc w:val="center"/>
            </w:pPr>
            <w:r>
              <w:rPr>
                <w:color w:val="000000"/>
                <w:sz w:val="24"/>
                <w:szCs w:val="24"/>
              </w:rPr>
              <w:t>111910240</w:t>
            </w:r>
          </w:p>
        </w:tc>
        <w:tc>
          <w:tcPr>
            <w:vAlign w:val="center"/>
          </w:tcPr>
          <w:p>
            <w:pPr>
              <w:jc w:val="center"/>
            </w:pPr>
            <w:r>
              <w:rPr>
                <w:color w:val="000000"/>
                <w:sz w:val="24"/>
                <w:szCs w:val="24"/>
              </w:rPr>
              <w:t>19兴业银行CD240</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5.11.1报告期内本基金投资的前十名证券的发行主体除19民生银行CD226（证券代码：111915226）外，未出现被监管部门立案调查，或在报告编制日前一年内受到公开谴责、处罚的情形。</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19民生银行CD226（证券代码：111915226）的发行主体民生银行，根据银保监会2018年12月7日公布的《中国银行保险监督管理委员会行政处罚信息公开表(银保监银罚决字〔2018〕5号)》，因存在贷款业务严重违反审慎经营规则等违法违规事实，被中国银行保险监督管理委员会处以行政处罚，罚款200万元；根据银保监会2018年12月7日公布的《中国银行保险监督管理委员会行政处罚信息公开表(银保监银罚决字〔2018〕8号)》，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3160万元。</w:t>
      </w:r>
    </w:p>
    <w:p>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33,584.48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489,277.11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522,861.59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79,899,354.91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79,899,354.91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1、中国证监会准予交银施罗德致远量化智投策略定期开放混合型证券投资基金募集注册的文件；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2、《交银施罗德致远量化智投策略定期开放混合型证券投资基金基金合同》；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3、《交银施罗德致远量化智投策略定期开放混合型证券投资基金招募说明书》；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4、《交银施罗德致远量化智投策略定期开放混合型证券投资基金托管协议》；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5、关于申请募集注册交银施罗德致远量化智投策略定期开放混合型证券投资基金的法律意见书；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8、报告期内交银施罗德致远量化智投策略定期开放混合型证券投资基金在指定报刊上各项公告的原稿。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交银施罗德致远量化智投策略定期开放混合型证券投资基金2019年第3季度报告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