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2279D3" w:rsidRDefault="002279D3" w:rsidRPr="0081286B">
      <w:pPr>
        <w:spacing w:before="29" w:line="288" w:lineRule="auto"/>
        <w:jc w:val="center"/>
        <w:rPr>
          <w:b/>
          <w:sz w:val="36"/>
          <w:szCs w:val="36"/>
        </w:rPr>
      </w:pPr>
      <w:r w:rsidRPr="0081286B">
        <w:rPr>
          <w:b/>
          <w:sz w:val="36"/>
          <w:szCs w:val="36"/>
        </w:rPr>
        <w:t>交银施罗德致远量化智投策略定期开放混合型证券投资基金</w:t>
      </w:r>
    </w:p>
    <w:p w:rsidP="00C15CAC" w:rsidR="002279D3" w:rsidRDefault="002279D3" w:rsidRPr="0081286B">
      <w:pPr>
        <w:spacing w:before="29" w:line="288" w:lineRule="auto"/>
        <w:jc w:val="center"/>
        <w:rPr>
          <w:b/>
          <w:sz w:val="36"/>
          <w:szCs w:val="36"/>
        </w:rPr>
      </w:pPr>
      <w:r w:rsidRPr="0081286B">
        <w:rPr>
          <w:b/>
          <w:sz w:val="36"/>
          <w:szCs w:val="36"/>
        </w:rPr>
        <w:t>2019年第3季度报告</w:t>
      </w:r>
    </w:p>
    <w:p w:rsidP="00C15CAC" w:rsidR="004061AC" w:rsidRDefault="00655CD8" w:rsidRPr="0081286B">
      <w:pPr>
        <w:spacing w:before="29" w:line="288" w:lineRule="auto"/>
        <w:jc w:val="center"/>
        <w:rPr>
          <w:b/>
          <w:sz w:val="36"/>
          <w:szCs w:val="36"/>
        </w:rPr>
      </w:pPr>
      <w:r w:rsidRPr="0081286B">
        <w:rPr>
          <w:b/>
          <w:sz w:val="36"/>
          <w:szCs w:val="36"/>
        </w:rPr>
        <w:t>2019年9月30日</w:t>
      </w: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中信银行股份有限公司</w:t>
      </w:r>
    </w:p>
    <w:p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二〇一九年十月二十二日</w:t>
      </w:r>
    </w:p>
    <w:p w:rsidP="0011537B" w:rsidR="004061AC" w:rsidRDefault="004061AC" w:rsidRPr="00414345">
      <w:pPr>
        <w:pStyle w:val="1"/>
        <w:spacing w:after="312" w:afterLines="100" w:before="312"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基金托管人中信银行股份有限公司根据本基金合同规定，于2019年10月21日复核了本报告中的财务指标、净值表现和投资组合报告等内容，保证复核内容不存在虚假记载、误导性陈述或者重大遗漏。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本报告期自2019年7月1日起至9月30日止。</w:t>
      </w:r>
    </w:p>
    <w:p w:rsidP="00C15CAC" w:rsidR="00627E2D" w:rsidRDefault="00627E2D" w:rsidRPr="00414345">
      <w:pPr>
        <w:spacing w:before="29" w:line="288" w:lineRule="auto"/>
        <w:ind w:firstLine="480" w:firstLineChars="200"/>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4061AC" w:rsidRPr="00414345" w:rsidTr="006E6726">
        <w:trPr>
          <w:jc w:val="center"/>
        </w:trPr>
        <w:tc>
          <w:tcPr>
            <w:tcW w:type="dxa" w:w="3023"/>
            <w:vAlign w:val="center"/>
          </w:tcPr>
          <w:p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交银致远智投混合</w:t>
            </w:r>
          </w:p>
        </w:tc>
      </w:tr>
      <w:tr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005724</w:t>
            </w:r>
          </w:p>
        </w:tc>
      </w:tr>
      <w:tr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tcPr>
          <w:p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5845"/>
            <w:gridSpan w:val="2"/>
            <w:tcBorders>
              <w:top w:color="auto" w:space="0" w:sz="4" w:val="single"/>
              <w:left w:color="auto" w:space="0" w:sz="4" w:val="single"/>
              <w:bottom w:color="auto" w:space="0" w:sz="4" w:val="single"/>
              <w:right w:color="auto" w:space="0" w:sz="4" w:val="single"/>
            </w:tcBorders>
            <w:vAlign w:val="center"/>
          </w:tcPr>
          <w:p w:rsidP="00C15CAC" w:rsidR="001B2F35" w:rsidRDefault="00C5218C" w:rsidRPr="00414345">
            <w:pPr>
              <w:adjustRightInd w:val="0"/>
              <w:spacing w:before="29" w:line="288" w:lineRule="auto"/>
              <w:ind w:left="17"/>
              <w:jc w:val="left"/>
              <w:rPr>
                <w:color w:val="000000"/>
                <w:kern w:val="0"/>
                <w:sz w:val="24"/>
                <w:szCs w:val="24"/>
              </w:rPr>
            </w:pPr>
            <w:r w:rsidRPr="00414345">
              <w:rPr>
                <w:kern w:val="0"/>
                <w:sz w:val="24"/>
              </w:rPr>
              <w:t>005724</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2018年5月18日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79,899,354.91</w:t>
            </w:r>
            <w:r w:rsidRPr="00414345">
              <w:rPr>
                <w:color w:val="000000"/>
                <w:kern w:val="0"/>
                <w:sz w:val="24"/>
                <w:szCs w:val="24"/>
              </w:rPr>
              <w:t>份</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本基金在控制风险的前提下，力争为投资者提供长期稳健的投资回报。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股票量化策略的核心在于通过长期投资以摊薄买入成本，待收益达标时止盈减仓。本基金量化智投策略主要利用量化投资模型，以大数据分析为基础，结合对市场风格和市场环境的持续研究，动态调整每期投资金额，采取定期不定额的投资模式，以此增强投资效率，可帮助投资人优化投资组合成本。</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75%×上证国债指数收益率+25%×沪深300指数收益率</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本基金是一只混合型基金，其预期风险和预期收益高于债券型基金和货币市场基金，低于股票型基金。</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中信银行股份有限公司</w:t>
            </w:r>
          </w:p>
        </w:tc>
      </w:tr>
    </w:tbl>
    <w:p w:rsidP="00C15CAC" w:rsidR="005910BF" w:rsidRDefault="005910BF" w:rsidRPr="00414345">
      <w:pPr>
        <w:autoSpaceDE w:val="0"/>
        <w:autoSpaceDN w:val="0"/>
        <w:adjustRightInd w:val="0"/>
        <w:spacing w:before="29" w:line="288" w:lineRule="auto"/>
        <w:jc w:val="left"/>
        <w:rPr>
          <w:color w:val="000000"/>
          <w:kern w:val="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7"/>
        <w:gridCol w:w="2706"/>
        <w:gridCol w:w="2555"/>
      </w:tblGrid>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type="dxa" w:w="4962"/>
            <w:hMerge w:val="restart"/>
            <w:vAlign w:val="center"/>
          </w:tcPr>
          <w:p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(2019年7月1日-2019年9月30日)</w:t>
            </w:r>
          </w:p>
        </w:tc>
        <w:tc>
          <w:tcPr>
            <w:tcW w:type="dxa" w:w="2410"/>
            <w:hMerge/>
            <w:vAlign w:val="center"/>
          </w:tcPr>
          <w:p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598,590.41</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651,314.54</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0.0082</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81,826,939.86</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1.0241</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注：1、上述基金业绩指标不包括持有人认购或交易基金的各项费用，计入费用后的实际收益水平要低于所列数字； </w:t>
      </w:r>
    </w:p>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2、本期已实现收益指基金本期利息收入、投资收益、其他收入（不含公允价值变动收益）扣除相关费用后的余额，本期利润为本期已实现收益加上本期公允价值变动收益。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type="dxa" w:w="8868"/>
        <w:jc w:val="center"/>
        <w:tblLayout w:type="fixed"/>
        <w:tblCellMar>
          <w:top w:type="dxa" w:w="57"/>
          <w:bottom w:type="dxa" w:w="57"/>
        </w:tblCellMar>
        <w:tblLook w:firstColumn="1" w:firstRow="1" w:lastColumn="0" w:lastRow="0" w:noHBand="0" w:noVBand="1" w:val="04A0"/>
      </w:tblPr>
      <w:tblGrid>
        <w:gridCol w:w="1701"/>
        <w:gridCol w:w="1045"/>
        <w:gridCol w:w="1344"/>
        <w:gridCol w:w="1194"/>
        <w:gridCol w:w="1492"/>
        <w:gridCol w:w="1194"/>
        <w:gridCol w:w="898"/>
      </w:tblGrid>
      <w:tr w:rsidR="00EF6FA5" w:rsidRPr="00414345" w:rsidTr="00A324F4">
        <w:trPr>
          <w:jc w:val="center"/>
        </w:trPr>
        <w:tc>
          <w:tcPr>
            <w:tcW w:type="dxa" w:w="161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type="dxa" w:w="992"/>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0.80%</w:t>
            </w:r>
          </w:p>
        </w:tc>
        <w:tc>
          <w:tcPr>
            <w:vAlign w:val="center"/>
          </w:tcPr>
          <w:p>
            <w:pPr>
              <w:jc w:val="center"/>
            </w:pPr>
            <w:r>
              <w:rPr>
                <w:color w:val="000000"/>
                <w:sz w:val="24"/>
                <w:szCs w:val="24"/>
              </w:rPr>
              <w:t>0.23%</w:t>
            </w:r>
          </w:p>
        </w:tc>
        <w:tc>
          <w:tcPr>
            <w:vAlign w:val="center"/>
          </w:tcPr>
          <w:p>
            <w:pPr>
              <w:jc w:val="center"/>
            </w:pPr>
            <w:r>
              <w:rPr>
                <w:color w:val="000000"/>
                <w:sz w:val="24"/>
                <w:szCs w:val="24"/>
              </w:rPr>
              <w:t>0.94%</w:t>
            </w:r>
          </w:p>
        </w:tc>
        <w:tc>
          <w:tcPr>
            <w:vAlign w:val="center"/>
          </w:tcPr>
          <w:p>
            <w:pPr>
              <w:jc w:val="center"/>
            </w:pPr>
            <w:r>
              <w:rPr>
                <w:color w:val="000000"/>
                <w:sz w:val="24"/>
                <w:szCs w:val="24"/>
              </w:rPr>
              <w:t>0.24%</w:t>
            </w:r>
          </w:p>
        </w:tc>
        <w:tc>
          <w:tcPr>
            <w:vAlign w:val="center"/>
          </w:tcPr>
          <w:p>
            <w:pPr>
              <w:jc w:val="center"/>
            </w:pPr>
            <w:r>
              <w:rPr>
                <w:color w:val="000000"/>
                <w:sz w:val="24"/>
                <w:szCs w:val="24"/>
              </w:rPr>
              <w:t>-0.14%</w:t>
            </w:r>
          </w:p>
        </w:tc>
        <w:tc>
          <w:tcPr>
            <w:vAlign w:val="center"/>
          </w:tcPr>
          <w:p>
            <w:pPr>
              <w:jc w:val="center"/>
            </w:pPr>
            <w:r>
              <w:rPr>
                <w:color w:val="000000"/>
                <w:sz w:val="24"/>
                <w:szCs w:val="24"/>
              </w:rPr>
              <w:t>-0.01%</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P="00C15CAC" w:rsidR="008606B6" w:rsidRDefault="008606B6" w:rsidRPr="00414345">
      <w:pPr>
        <w:spacing w:before="29" w:line="288" w:lineRule="auto"/>
        <w:jc w:val="center"/>
        <w:rPr>
          <w:color w:val="000000"/>
          <w:sz w:val="24"/>
          <w:szCs w:val="24"/>
        </w:rPr>
      </w:pPr>
      <w:r w:rsidRPr="00414345">
        <w:rPr>
          <w:color w:val="000000"/>
          <w:sz w:val="24"/>
          <w:szCs w:val="24"/>
        </w:rPr>
        <w:t>交银施罗德致远量化智投策略定期开放混合型证券投资基金</w:t>
      </w:r>
    </w:p>
    <w:p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2018年5月18日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2019年9月30日</w:t>
      </w:r>
      <w:r w:rsidRPr="00414345">
        <w:rPr>
          <w:rFonts w:ascii="Times New Roman" w:cs="Times New Roman" w:hAnsi="Times New Roman"/>
          <w:color w:val="000000"/>
          <w:sz w:val="24"/>
          <w:szCs w:val="24"/>
        </w:rPr>
        <w:t>）</w:t>
      </w:r>
    </w:p>
    <w:p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基金合同生效日为2018年5月18日，截至报告期期末，本基金已完成建仓但报告期期末距建仓结束未满一年。本基金建仓期为自基金合同生效日起的6个月。截至建仓期结束，本基金各项资产配置比例符合基金合同及招募说明书有关投资比例的约定。</w:t>
      </w:r>
    </w:p>
    <w:p w:rsidP="00C15CAC" w:rsidR="00957594" w:rsidRDefault="00957594" w:rsidRPr="00414345">
      <w:pPr>
        <w:tabs>
          <w:tab w:pos="1800" w:val="left"/>
        </w:tabs>
        <w:spacing w:before="29" w:line="288" w:lineRule="auto"/>
        <w:rPr>
          <w:color w:val="000000"/>
          <w:sz w:val="24"/>
          <w:szCs w:val="24"/>
        </w:rPr>
      </w:pPr>
    </w:p>
    <w:p w:rsidP="00C15CAC" w:rsidR="00693843" w:rsidRDefault="00693843" w:rsidRPr="00414345">
      <w:pPr>
        <w:tabs>
          <w:tab w:pos="1800" w:val="left"/>
        </w:tabs>
        <w:spacing w:before="29" w:line="288" w:lineRule="auto"/>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46"/>
        <w:gridCol w:w="845"/>
        <w:gridCol w:w="1549"/>
        <w:gridCol w:w="1548"/>
        <w:gridCol w:w="1407"/>
        <w:gridCol w:w="2673"/>
      </w:tblGrid>
      <w:tr w:rsidR="00286BEF" w:rsidRPr="00414345" w:rsidTr="006A10AB">
        <w:trPr>
          <w:trHeight w:val="292"/>
          <w:jc w:val="center"/>
        </w:trPr>
        <w:tc>
          <w:tcPr>
            <w:tcW w:type="dxa" w:w="851"/>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type="dxa" w:w="1417"/>
            <w:vMerge w:val="restart"/>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type="dxa" w:w="851"/>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蔡铮</w:t>
            </w:r>
          </w:p>
        </w:tc>
        <w:tc>
          <w:tcPr>
            <w:vAlign w:val="center"/>
          </w:tcPr>
          <w:p>
            <w:pPr>
              <w:jc w:val="center"/>
            </w:pPr>
            <w:r>
              <w:rPr>
                <w:color w:val="000000"/>
                <w:sz w:val="24"/>
                <w:szCs w:val="24"/>
              </w:rPr>
              <w:t>交银上证180公司治理ETF及其联接、交银深证300价值ETF及其联接、交银国证新能源指数分级、交银中证海外中国互联网指数（QDII-LOF)、交银中证互联网金融指数分级、交银中证环境治理指数（LOF）、交银致远智投混合的基金经理，公司量化投资副总监兼多元资产管理副总监</w:t>
            </w:r>
          </w:p>
        </w:tc>
        <w:tc>
          <w:tcPr>
            <w:vAlign w:val="center"/>
          </w:tcPr>
          <w:p>
            <w:pPr>
              <w:jc w:val="center"/>
            </w:pPr>
            <w:r>
              <w:rPr>
                <w:color w:val="000000"/>
                <w:sz w:val="24"/>
                <w:szCs w:val="24"/>
              </w:rPr>
              <w:t>2018-05-18</w:t>
            </w:r>
          </w:p>
        </w:tc>
        <w:tc>
          <w:tcPr>
            <w:vAlign w:val="center"/>
          </w:tcPr>
          <w:p>
            <w:pPr>
              <w:jc w:val="center"/>
            </w:pPr>
            <w:r>
              <w:rPr>
                <w:color w:val="000000"/>
                <w:sz w:val="24"/>
                <w:szCs w:val="24"/>
              </w:rPr>
              <w:t>-</w:t>
            </w:r>
          </w:p>
        </w:tc>
        <w:tc>
          <w:tcPr>
            <w:vAlign w:val="center"/>
          </w:tcPr>
          <w:p>
            <w:pPr>
              <w:jc w:val="center"/>
            </w:pPr>
            <w:r>
              <w:rPr>
                <w:color w:val="000000"/>
                <w:sz w:val="24"/>
                <w:szCs w:val="24"/>
              </w:rPr>
              <w:t>10年</w:t>
            </w:r>
          </w:p>
        </w:tc>
        <w:tc>
          <w:tcPr>
            <w:vAlign w:val="center"/>
          </w:tcPr>
          <w:p>
            <w:pPr>
              <w:jc w:val="both"/>
            </w:pPr>
            <w:r>
              <w:rPr>
                <w:color w:val="000000"/>
                <w:sz w:val="24"/>
                <w:szCs w:val="24"/>
              </w:rPr>
              <w:t>蔡铮先生，中国国籍，复旦大学电子工程硕士。历任瑞士银行香港分行分析员。2009年加入交银施罗德基金管理有限公司，历任投资研究部数量分析师、基金经理助理、量化投资部助理总经理、量化投资部副总经理。2012年12月27日至2015年6月30日担任交银施罗德沪深300行业分层等权重指数证券投资基金基金经理，2015年4月22日至2017年3月24日担任交银施罗德环球精选价值证券投资基金基金经理，2015年4月22日至2017年3月24日担任交银施罗德全球自然资源证券投资基金基金经理，2015年8月13日至2016年7月18日担任交银施罗德中证环境治理指数分级证券投资基金基金经理。</w:t>
            </w:r>
          </w:p>
        </w:tc>
      </w:tr>
    </w:tbl>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C15CAC" w:rsidR="004061AC" w:rsidRDefault="004061AC"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2019年三季度国内宏观环境基本稳定，经济走势稳中偏弱，政策面支持力度加大。受需求端拖累和外部不确定性影响，国内制造业投资面临一定压力，但消费和基建的温和回暖为国内经济带来支撑。在此经济背景下，三季度A股市场延续震荡态势，估值水平基本稳定，市场风险偏好有所上升，科技类品种受到较强关注。债券市场三季度稳步上行。在上述市场环境下，本基金采取定期不定额的模式进行投资，固定收益部分配置了较高信用等级的固定收益资产作为收益增强，净值表现总体呈现震荡上行的走势。</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展望2019年四季度，我们认为宏观经济仍然面临一定压力，但随着政策和改革的推进，新兴产业作为经济增长新动力也将提速发展。四季度是国内宏观政策的重要时间窗口，预计针对内外部环境将会有更多稳增长政策出台。国内市场经历年初的火爆现已回归冷静，维持区间震荡，估值水平基本稳定，从中长期来看我们对A股市场仍维持谨慎乐观的看法。</w:t>
      </w:r>
    </w:p>
    <w:p w:rsidP="00C15CAC" w:rsidR="00627E2D" w:rsidRDefault="00627E2D"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本基金（各类）份额净值及业绩表现请见“3.1主要财务指标” 及“3.2.1 本报告期基金份额净值增长率及其与同期业绩比较基准收益率的比较”部分披露。</w:t>
      </w:r>
    </w:p>
    <w:p w:rsidP="00C15CAC" w:rsidR="009C5186" w:rsidRDefault="009C5186" w:rsidRPr="00414345">
      <w:pPr>
        <w:spacing w:before="29" w:line="288" w:lineRule="auto"/>
        <w:ind w:firstLine="480" w:firstLineChars="200"/>
        <w:rPr>
          <w:color w:val="000000"/>
          <w:sz w:val="24"/>
          <w:szCs w:val="24"/>
        </w:rPr>
      </w:pPr>
    </w:p>
    <w:p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421CD2" w:rsidR="00421CD2" w:rsidRDefault="00421CD2">
      <w:pPr>
        <w:spacing w:before="29" w:line="288" w:lineRule="auto"/>
        <w:ind w:firstLine="480" w:firstLineChars="200"/>
        <w:rPr>
          <w:color w:val="000000"/>
          <w:sz w:val="24"/>
        </w:rPr>
      </w:pPr>
      <w:r w:rsidRPr="002070B4">
        <w:rPr>
          <w:color w:val="000000"/>
          <w:sz w:val="24"/>
        </w:rPr>
        <w:t>本基金本报告期内无需预警说明。</w:t>
      </w: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P="00BF0019" w:rsidR="00BF0019" w:rsidRDefault="00BF0019">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p w:rsidP="009C1009" w:rsidR="006B5F69" w:rsidRDefault="009C1009" w:rsidRPr="007B5F21">
      <w:pPr>
        <w:autoSpaceDE w:val="0"/>
        <w:autoSpaceDN w:val="0"/>
        <w:adjustRightInd w:val="0"/>
        <w:spacing w:line="360" w:lineRule="auto"/>
        <w:jc w:val="right"/>
        <w:rPr>
          <w:rFonts w:eastAsiaTheme="minorEastAsia"/>
          <w:b/>
          <w:color w:themeColor="text1" w:val="000000"/>
          <w:kern w:val="0"/>
          <w:sz w:val="24"/>
          <w:szCs w:val="24"/>
        </w:rPr>
      </w:pPr>
      <w:r w:rsidRPr="009C1009">
        <w:rPr>
          <w:rFonts w:hint="eastAsia"/>
          <w:color w:val="000000"/>
          <w:kern w:val="0"/>
        </w:rPr>
        <w:t/>
      </w:r>
      <w:r w:rsidRPr="009C1009">
        <w:rPr>
          <w:rFonts w:hint="eastAsia"/>
          <w:color w:val="000000"/>
          <w:kern w:val="0"/>
        </w:rPr>
        <w:t>金额单位：人民币元</w:t>
      </w:r>
    </w:p>
    <w:tbl>
      <w:tblPr>
        <w:tblStyle w:val="af7"/>
        <w:tblW w:type="dxa" w:w="8897"/>
        <w:tblInd w:type="dxa" w:w="108"/>
        <w:tblLayout w:type="fixed"/>
        <w:tblLook w:firstColumn="1" w:firstRow="1" w:lastColumn="0" w:lastRow="0" w:noHBand="0" w:noVBand="1" w:val="04A0"/>
      </w:tblPr>
      <w:tblGrid>
        <w:gridCol w:w="720"/>
        <w:gridCol w:w="2682"/>
        <w:gridCol w:w="2552"/>
        <w:gridCol w:w="2943"/>
      </w:tblGrid>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68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p>
        </w:tc>
        <w:tc>
          <w:tcPr>
            <w:tcW w:type="dxa" w:w="2943"/>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占基金总资产的比例</w:t>
            </w:r>
            <w:r w:rsidR="0018138B">
              <w:rPr>
                <w:rFonts w:eastAsiaTheme="minorEastAsia" w:hint="eastAsia"/>
                <w:color w:themeColor="text1" w:val="000000"/>
                <w:sz w:val="24"/>
                <w:szCs w:val="24"/>
              </w:rPr>
              <w:t>(</w:t>
            </w:r>
            <w:r w:rsidR="0018138B">
              <w:rPr>
                <w:rFonts w:eastAsiaTheme="minorEastAsia"/>
                <w:color w:themeColor="text1" w:val="000000"/>
                <w:sz w:val="24"/>
                <w:szCs w:val="24"/>
              </w:rPr>
              <w:t>%</w:t>
            </w:r>
            <w:r w:rsidR="0018138B">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lastRenderedPageBreak/>
              <w:t>1</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19,423,093.53</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23.66</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19,423,093.53</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23.66</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3</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48,889,000.00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59.55</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48,889,000.00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59.55</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682"/>
            <w:vAlign w:val="center"/>
          </w:tcPr>
          <w:p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金融衍生品投资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7</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13,264,906.64</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16.16</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522,861.59</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0.64</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82,099,861.76</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100.00</w:t>
            </w:r>
          </w:p>
        </w:tc>
      </w:tr>
    </w:tbl>
    <w:p w:rsidP="00C15CAC" w:rsidR="004061AC" w:rsidRDefault="004061AC" w:rsidRPr="00414345">
      <w:pPr>
        <w:autoSpaceDE w:val="0"/>
        <w:autoSpaceDN w:val="0"/>
        <w:adjustRightInd w:val="0"/>
        <w:spacing w:before="29" w:line="288" w:lineRule="auto"/>
        <w:jc w:val="left"/>
        <w:rPr>
          <w:color w:val="00000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P="00F51C4E" w:rsidR="00F51C4E" w:rsidRDefault="00F51C4E">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9C1009" w:rsidR="007B2639" w:rsidRDefault="009C1009" w:rsidRPr="007B2639">
      <w:pPr>
        <w:jc w:val="right"/>
        <w:rPr>
          <w:sz w:val="24"/>
        </w:rPr>
      </w:pPr>
      <w:r w:rsidRPr="009C1009">
        <w:rPr>
          <w:rFonts w:eastAsiaTheme="minorEastAsia" w:hint="eastAsia"/>
          <w:color w:themeColor="text1" w:val="000000"/>
          <w:kern w:val="0"/>
          <w:sz w:val="24"/>
        </w:rPr>
        <w:t/>
      </w:r>
      <w:r w:rsidRPr="009C1009">
        <w:rPr>
          <w:rFonts w:eastAsiaTheme="minorEastAsia" w:hint="eastAsia"/>
          <w:color w:themeColor="text1" w:val="000000"/>
          <w:kern w:val="0"/>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
          <w:left w:type="dxa" w:w="0"/>
          <w:bottom w:type="dxa" w:w="-1"/>
          <w:right w:type="dxa" w:w="0"/>
        </w:tblCellMar>
        <w:tblLook w:firstColumn="0" w:firstRow="0" w:lastColumn="0" w:lastRow="0" w:noHBand="0" w:noVBand="0" w:val="0000"/>
      </w:tblPr>
      <w:tblGrid>
        <w:gridCol w:w="845"/>
        <w:gridCol w:w="3544"/>
        <w:gridCol w:w="2841"/>
        <w:gridCol w:w="1638"/>
      </w:tblGrid>
      <w:tr w:rsidR="00531F10" w:rsidRPr="00414345" w:rsidTr="006C2C1B">
        <w:trPr>
          <w:trHeight w:val="390"/>
          <w:jc w:val="center"/>
        </w:trPr>
        <w:tc>
          <w:tcPr>
            <w:tcW w:type="dxa" w:w="845"/>
            <w:tcBorders>
              <w:top w:color="000000" w:space="0" w:sz="4" w:val="single"/>
              <w:left w:color="000000"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代码</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行业类别</w:t>
            </w:r>
            <w:r w:rsidR="005E475E" w:rsidRPr="00414345">
              <w:rPr>
                <w:sz w:val="24"/>
                <w:szCs w:val="24"/>
              </w:rPr>
              <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B11F31" w:rsidRPr="00414345">
            <w:pPr>
              <w:adjustRightInd w:val="0"/>
              <w:snapToGrid w:val="0"/>
              <w:spacing w:before="29" w:line="288" w:lineRule="auto"/>
              <w:jc w:val="center"/>
              <w:rPr>
                <w:sz w:val="24"/>
                <w:szCs w:val="24"/>
              </w:rPr>
            </w:pPr>
            <w:r>
              <w:rPr>
                <w:sz w:val="24"/>
                <w:szCs w:val="24"/>
              </w:rPr>
              <w:t>公允价值</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A</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农、林、牧、渔业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183,372.00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0.22</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B</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采矿业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283,939.00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0.35</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C</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制造业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9,046,119.25</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11.06</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D</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电力、热力、燃气及水生产和供应业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709,428.00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0.87</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E</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建筑业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689,224.00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0.84</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F</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批发和零售业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558,440.68</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0.68</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G</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交通运输、仓储和邮政业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780,067.20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0.95</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H</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住宿和餐饮业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r w:rsidRPr="00414345">
              <w:rPr>
                <w:sz w:val="24"/>
                <w:szCs w:val="24"/>
              </w:rPr>
              <w:lastRenderedPageBreak/>
              <w:t>55,560.00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lastRenderedPageBreak/>
              <w:t/>
            </w:r>
            <w:r w:rsidRPr="00414345">
              <w:rPr>
                <w:sz w:val="24"/>
                <w:szCs w:val="24"/>
              </w:rPr>
              <w:lastRenderedPageBreak/>
              <w:t>0.07</w:t>
            </w:r>
          </w:p>
        </w:tc>
      </w:tr>
      <w:tr w:rsidR="00531F10" w:rsidRPr="00414345" w:rsidTr="00DC28F1">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I</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DC28F1" w:rsidR="00531F10" w:rsidRDefault="00531F10" w:rsidRPr="00414345">
            <w:pPr>
              <w:adjustRightInd w:val="0"/>
              <w:snapToGrid w:val="0"/>
              <w:spacing w:before="29" w:line="288" w:lineRule="auto"/>
              <w:rPr>
                <w:sz w:val="24"/>
                <w:szCs w:val="24"/>
              </w:rPr>
            </w:pPr>
            <w:r w:rsidRPr="00414345">
              <w:rPr>
                <w:sz w:val="24"/>
                <w:szCs w:val="24"/>
              </w:rPr>
              <w:t>信息传输、软件和信息技术服务业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923,176.80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1.13</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J</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金融业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4,368,414.00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5.34</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K</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房地产业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1,081,071.80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1.32</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L</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50,510.00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0.06</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M</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N</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lastRenderedPageBreak/>
              <w:t>O</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P</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教育</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17,897.00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0.02</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Q</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283,788.00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0.35</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R</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219,023.00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0.27</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S</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综合</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173,062.80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0.21</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合计</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19,423,093.53</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23.74</w:t>
            </w:r>
          </w:p>
        </w:tc>
      </w:tr>
    </w:tbl>
    <w:p w:rsidP="00F51C4E" w:rsidR="00F51C4E" w:rsidRDefault="00F51C4E"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EE49FE">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F51C4E" w:rsidR="00F51C4E" w:rsidRDefault="00F51C4E">
      <w:pPr>
        <w:spacing w:before="29" w:line="360" w:lineRule="auto"/>
        <w:ind w:left="17"/>
        <w:rPr>
          <w:color w:val="000000"/>
          <w:sz w:val="24"/>
        </w:rPr>
      </w:pPr>
      <w:r w:rsidRPr="00FF0BBF">
        <w:rPr>
          <w:color w:val="000000"/>
          <w:sz w:val="24"/>
        </w:rPr>
        <w:t>本基金本报告期末未持有通过港股通投资的股票。</w:t>
      </w:r>
    </w:p>
    <w:p w:rsidP="00C15CAC" w:rsidR="004061AC" w:rsidRDefault="004061AC" w:rsidRPr="00F51C4E">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type="dxa" w:w="8868"/>
        <w:jc w:val="center"/>
        <w:tblLayout w:type="fixed"/>
        <w:tblCellMar>
          <w:top w:type="dxa" w:w="57"/>
          <w:bottom w:type="dxa" w:w="57"/>
        </w:tblCellMar>
        <w:tblLook w:firstColumn="1" w:firstRow="1" w:lastColumn="0" w:lastRow="0" w:noHBand="0" w:noVBand="1" w:val="04A0"/>
      </w:tblPr>
      <w:tblGrid>
        <w:gridCol w:w="855"/>
        <w:gridCol w:w="1334"/>
        <w:gridCol w:w="1777"/>
        <w:gridCol w:w="1334"/>
        <w:gridCol w:w="1924"/>
        <w:gridCol w:w="1644"/>
      </w:tblGrid>
      <w:tr w:rsidR="00AC592E" w:rsidRPr="00414345" w:rsidTr="00A324F4">
        <w:trPr>
          <w:jc w:val="center"/>
        </w:trPr>
        <w:tc>
          <w:tcPr>
            <w:tcW w:type="dxa" w:w="869"/>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序号</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股票代码</w:t>
            </w:r>
          </w:p>
        </w:tc>
        <w:tc>
          <w:tcPr>
            <w:tcW w:type="dxa" w:w="1810"/>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股票名称</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type="dxa" w:w="1960"/>
            <w:vAlign w:val="center"/>
          </w:tcPr>
          <w:p w:rsidP="00C15CAC" w:rsidR="00853140" w:rsidRDefault="00853140"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74"/>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601318</w:t>
            </w:r>
          </w:p>
        </w:tc>
        <w:tc>
          <w:tcPr>
            <w:vAlign w:val="center"/>
          </w:tcPr>
          <w:p>
            <w:pPr>
              <w:jc w:val="center"/>
            </w:pPr>
            <w:r>
              <w:rPr>
                <w:color w:val="000000"/>
                <w:sz w:val="24"/>
                <w:szCs w:val="24"/>
              </w:rPr>
              <w:t>中国平安</w:t>
            </w:r>
          </w:p>
        </w:tc>
        <w:tc>
          <w:tcPr>
            <w:vAlign w:val="center"/>
          </w:tcPr>
          <w:p>
            <w:pPr>
              <w:jc w:val="right"/>
            </w:pPr>
            <w:r>
              <w:rPr>
                <w:color w:val="000000"/>
                <w:sz w:val="24"/>
                <w:szCs w:val="24"/>
              </w:rPr>
              <w:t>8,100</w:t>
            </w:r>
          </w:p>
        </w:tc>
        <w:tc>
          <w:tcPr>
            <w:vAlign w:val="center"/>
          </w:tcPr>
          <w:p>
            <w:pPr>
              <w:jc w:val="right"/>
            </w:pPr>
            <w:r>
              <w:rPr>
                <w:color w:val="000000"/>
                <w:sz w:val="24"/>
                <w:szCs w:val="24"/>
              </w:rPr>
              <w:t>705,024.00</w:t>
            </w:r>
          </w:p>
        </w:tc>
        <w:tc>
          <w:tcPr>
            <w:vAlign w:val="center"/>
          </w:tcPr>
          <w:p>
            <w:pPr>
              <w:jc w:val="right"/>
            </w:pPr>
            <w:r>
              <w:rPr>
                <w:color w:val="000000"/>
                <w:sz w:val="24"/>
                <w:szCs w:val="24"/>
              </w:rPr>
              <w:t>0.86</w:t>
            </w:r>
          </w:p>
        </w:tc>
      </w:tr>
      <w:tr>
        <w:tc>
          <w:tcPr>
            <w:vAlign w:val="center"/>
          </w:tcPr>
          <w:p>
            <w:pPr>
              <w:jc w:val="center"/>
            </w:pPr>
            <w:r>
              <w:rPr>
                <w:color w:val="000000"/>
                <w:sz w:val="24"/>
                <w:szCs w:val="24"/>
              </w:rPr>
              <w:t>2</w:t>
            </w:r>
          </w:p>
        </w:tc>
        <w:tc>
          <w:tcPr>
            <w:vAlign w:val="center"/>
          </w:tcPr>
          <w:p>
            <w:pPr>
              <w:jc w:val="center"/>
            </w:pPr>
            <w:r>
              <w:rPr>
                <w:color w:val="000000"/>
                <w:sz w:val="24"/>
                <w:szCs w:val="24"/>
              </w:rPr>
              <w:t>002463</w:t>
            </w:r>
          </w:p>
        </w:tc>
        <w:tc>
          <w:tcPr>
            <w:vAlign w:val="center"/>
          </w:tcPr>
          <w:p>
            <w:pPr>
              <w:jc w:val="center"/>
            </w:pPr>
            <w:r>
              <w:rPr>
                <w:color w:val="000000"/>
                <w:sz w:val="24"/>
                <w:szCs w:val="24"/>
              </w:rPr>
              <w:t>沪电股份</w:t>
            </w:r>
          </w:p>
        </w:tc>
        <w:tc>
          <w:tcPr>
            <w:vAlign w:val="center"/>
          </w:tcPr>
          <w:p>
            <w:pPr>
              <w:jc w:val="right"/>
            </w:pPr>
            <w:r>
              <w:rPr>
                <w:color w:val="000000"/>
                <w:sz w:val="24"/>
                <w:szCs w:val="24"/>
              </w:rPr>
              <w:t>28,600</w:t>
            </w:r>
          </w:p>
        </w:tc>
        <w:tc>
          <w:tcPr>
            <w:vAlign w:val="center"/>
          </w:tcPr>
          <w:p>
            <w:pPr>
              <w:jc w:val="right"/>
            </w:pPr>
            <w:r>
              <w:rPr>
                <w:color w:val="000000"/>
                <w:sz w:val="24"/>
                <w:szCs w:val="24"/>
              </w:rPr>
              <w:t>700,700.00</w:t>
            </w:r>
          </w:p>
        </w:tc>
        <w:tc>
          <w:tcPr>
            <w:vAlign w:val="center"/>
          </w:tcPr>
          <w:p>
            <w:pPr>
              <w:jc w:val="right"/>
            </w:pPr>
            <w:r>
              <w:rPr>
                <w:color w:val="000000"/>
                <w:sz w:val="24"/>
                <w:szCs w:val="24"/>
              </w:rPr>
              <w:t>0.86</w:t>
            </w:r>
          </w:p>
        </w:tc>
      </w:tr>
      <w:tr>
        <w:tc>
          <w:tcPr>
            <w:vAlign w:val="center"/>
          </w:tcPr>
          <w:p>
            <w:pPr>
              <w:jc w:val="center"/>
            </w:pPr>
            <w:r>
              <w:rPr>
                <w:color w:val="000000"/>
                <w:sz w:val="24"/>
                <w:szCs w:val="24"/>
              </w:rPr>
              <w:t>3</w:t>
            </w:r>
          </w:p>
        </w:tc>
        <w:tc>
          <w:tcPr>
            <w:vAlign w:val="center"/>
          </w:tcPr>
          <w:p>
            <w:pPr>
              <w:jc w:val="center"/>
            </w:pPr>
            <w:r>
              <w:rPr>
                <w:color w:val="000000"/>
                <w:sz w:val="24"/>
                <w:szCs w:val="24"/>
              </w:rPr>
              <w:t>600143</w:t>
            </w:r>
          </w:p>
        </w:tc>
        <w:tc>
          <w:tcPr>
            <w:vAlign w:val="center"/>
          </w:tcPr>
          <w:p>
            <w:pPr>
              <w:jc w:val="center"/>
            </w:pPr>
            <w:r>
              <w:rPr>
                <w:color w:val="000000"/>
                <w:sz w:val="24"/>
                <w:szCs w:val="24"/>
              </w:rPr>
              <w:t>金发科技</w:t>
            </w:r>
          </w:p>
        </w:tc>
        <w:tc>
          <w:tcPr>
            <w:vAlign w:val="center"/>
          </w:tcPr>
          <w:p>
            <w:pPr>
              <w:jc w:val="right"/>
            </w:pPr>
            <w:r>
              <w:rPr>
                <w:color w:val="000000"/>
                <w:sz w:val="24"/>
                <w:szCs w:val="24"/>
              </w:rPr>
              <w:t>56,600</w:t>
            </w:r>
          </w:p>
        </w:tc>
        <w:tc>
          <w:tcPr>
            <w:vAlign w:val="center"/>
          </w:tcPr>
          <w:p>
            <w:pPr>
              <w:jc w:val="right"/>
            </w:pPr>
            <w:r>
              <w:rPr>
                <w:color w:val="000000"/>
                <w:sz w:val="24"/>
                <w:szCs w:val="24"/>
              </w:rPr>
              <w:t>374,126.00</w:t>
            </w:r>
          </w:p>
        </w:tc>
        <w:tc>
          <w:tcPr>
            <w:vAlign w:val="center"/>
          </w:tcPr>
          <w:p>
            <w:pPr>
              <w:jc w:val="right"/>
            </w:pPr>
            <w:r>
              <w:rPr>
                <w:color w:val="000000"/>
                <w:sz w:val="24"/>
                <w:szCs w:val="24"/>
              </w:rPr>
              <w:t>0.46</w:t>
            </w:r>
          </w:p>
        </w:tc>
      </w:tr>
      <w:tr>
        <w:tc>
          <w:tcPr>
            <w:vAlign w:val="center"/>
          </w:tcPr>
          <w:p>
            <w:pPr>
              <w:jc w:val="center"/>
            </w:pPr>
            <w:r>
              <w:rPr>
                <w:color w:val="000000"/>
                <w:sz w:val="24"/>
                <w:szCs w:val="24"/>
              </w:rPr>
              <w:t>4</w:t>
            </w:r>
          </w:p>
        </w:tc>
        <w:tc>
          <w:tcPr>
            <w:vAlign w:val="center"/>
          </w:tcPr>
          <w:p>
            <w:pPr>
              <w:jc w:val="center"/>
            </w:pPr>
            <w:r>
              <w:rPr>
                <w:color w:val="000000"/>
                <w:sz w:val="24"/>
                <w:szCs w:val="24"/>
              </w:rPr>
              <w:t>600276</w:t>
            </w:r>
          </w:p>
        </w:tc>
        <w:tc>
          <w:tcPr>
            <w:vAlign w:val="center"/>
          </w:tcPr>
          <w:p>
            <w:pPr>
              <w:jc w:val="center"/>
            </w:pPr>
            <w:r>
              <w:rPr>
                <w:color w:val="000000"/>
                <w:sz w:val="24"/>
                <w:szCs w:val="24"/>
              </w:rPr>
              <w:t>恒瑞医药</w:t>
            </w:r>
          </w:p>
        </w:tc>
        <w:tc>
          <w:tcPr>
            <w:vAlign w:val="center"/>
          </w:tcPr>
          <w:p>
            <w:pPr>
              <w:jc w:val="right"/>
            </w:pPr>
            <w:r>
              <w:rPr>
                <w:color w:val="000000"/>
                <w:sz w:val="24"/>
                <w:szCs w:val="24"/>
              </w:rPr>
              <w:t>4,600</w:t>
            </w:r>
          </w:p>
        </w:tc>
        <w:tc>
          <w:tcPr>
            <w:vAlign w:val="center"/>
          </w:tcPr>
          <w:p>
            <w:pPr>
              <w:jc w:val="right"/>
            </w:pPr>
            <w:r>
              <w:rPr>
                <w:color w:val="000000"/>
                <w:sz w:val="24"/>
                <w:szCs w:val="24"/>
              </w:rPr>
              <w:t>371,128.00</w:t>
            </w:r>
          </w:p>
        </w:tc>
        <w:tc>
          <w:tcPr>
            <w:vAlign w:val="center"/>
          </w:tcPr>
          <w:p>
            <w:pPr>
              <w:jc w:val="right"/>
            </w:pPr>
            <w:r>
              <w:rPr>
                <w:color w:val="000000"/>
                <w:sz w:val="24"/>
                <w:szCs w:val="24"/>
              </w:rPr>
              <w:t>0.45</w:t>
            </w:r>
          </w:p>
        </w:tc>
      </w:tr>
      <w:tr>
        <w:tc>
          <w:tcPr>
            <w:vAlign w:val="center"/>
          </w:tcPr>
          <w:p>
            <w:pPr>
              <w:jc w:val="center"/>
            </w:pPr>
            <w:r>
              <w:rPr>
                <w:color w:val="000000"/>
                <w:sz w:val="24"/>
                <w:szCs w:val="24"/>
              </w:rPr>
              <w:t>5</w:t>
            </w:r>
          </w:p>
        </w:tc>
        <w:tc>
          <w:tcPr>
            <w:vAlign w:val="center"/>
          </w:tcPr>
          <w:p>
            <w:pPr>
              <w:jc w:val="center"/>
            </w:pPr>
            <w:r>
              <w:rPr>
                <w:color w:val="000000"/>
                <w:sz w:val="24"/>
                <w:szCs w:val="24"/>
              </w:rPr>
              <w:t>000333</w:t>
            </w:r>
          </w:p>
        </w:tc>
        <w:tc>
          <w:tcPr>
            <w:vAlign w:val="center"/>
          </w:tcPr>
          <w:p>
            <w:pPr>
              <w:jc w:val="center"/>
            </w:pPr>
            <w:r>
              <w:rPr>
                <w:color w:val="000000"/>
                <w:sz w:val="24"/>
                <w:szCs w:val="24"/>
              </w:rPr>
              <w:t>美的集团</w:t>
            </w:r>
          </w:p>
        </w:tc>
        <w:tc>
          <w:tcPr>
            <w:vAlign w:val="center"/>
          </w:tcPr>
          <w:p>
            <w:pPr>
              <w:jc w:val="right"/>
            </w:pPr>
            <w:r>
              <w:rPr>
                <w:color w:val="000000"/>
                <w:sz w:val="24"/>
                <w:szCs w:val="24"/>
              </w:rPr>
              <w:t>7,100</w:t>
            </w:r>
          </w:p>
        </w:tc>
        <w:tc>
          <w:tcPr>
            <w:vAlign w:val="center"/>
          </w:tcPr>
          <w:p>
            <w:pPr>
              <w:jc w:val="right"/>
            </w:pPr>
            <w:r>
              <w:rPr>
                <w:color w:val="000000"/>
                <w:sz w:val="24"/>
                <w:szCs w:val="24"/>
              </w:rPr>
              <w:t>362,810.00</w:t>
            </w:r>
          </w:p>
        </w:tc>
        <w:tc>
          <w:tcPr>
            <w:vAlign w:val="center"/>
          </w:tcPr>
          <w:p>
            <w:pPr>
              <w:jc w:val="right"/>
            </w:pPr>
            <w:r>
              <w:rPr>
                <w:color w:val="000000"/>
                <w:sz w:val="24"/>
                <w:szCs w:val="24"/>
              </w:rPr>
              <w:t>0.44</w:t>
            </w:r>
          </w:p>
        </w:tc>
      </w:tr>
      <w:tr>
        <w:tc>
          <w:tcPr>
            <w:vAlign w:val="center"/>
          </w:tcPr>
          <w:p>
            <w:pPr>
              <w:jc w:val="center"/>
            </w:pPr>
            <w:r>
              <w:rPr>
                <w:color w:val="000000"/>
                <w:sz w:val="24"/>
                <w:szCs w:val="24"/>
              </w:rPr>
              <w:t>6</w:t>
            </w:r>
          </w:p>
        </w:tc>
        <w:tc>
          <w:tcPr>
            <w:vAlign w:val="center"/>
          </w:tcPr>
          <w:p>
            <w:pPr>
              <w:jc w:val="center"/>
            </w:pPr>
            <w:r>
              <w:rPr>
                <w:color w:val="000000"/>
                <w:sz w:val="24"/>
                <w:szCs w:val="24"/>
              </w:rPr>
              <w:t>601872</w:t>
            </w:r>
          </w:p>
        </w:tc>
        <w:tc>
          <w:tcPr>
            <w:vAlign w:val="center"/>
          </w:tcPr>
          <w:p>
            <w:pPr>
              <w:jc w:val="center"/>
            </w:pPr>
            <w:r>
              <w:rPr>
                <w:color w:val="000000"/>
                <w:sz w:val="24"/>
                <w:szCs w:val="24"/>
              </w:rPr>
              <w:t>招商轮船</w:t>
            </w:r>
          </w:p>
        </w:tc>
        <w:tc>
          <w:tcPr>
            <w:vAlign w:val="center"/>
          </w:tcPr>
          <w:p>
            <w:pPr>
              <w:jc w:val="right"/>
            </w:pPr>
            <w:r>
              <w:rPr>
                <w:color w:val="000000"/>
                <w:sz w:val="24"/>
                <w:szCs w:val="24"/>
              </w:rPr>
              <w:t>72,400</w:t>
            </w:r>
          </w:p>
        </w:tc>
        <w:tc>
          <w:tcPr>
            <w:vAlign w:val="center"/>
          </w:tcPr>
          <w:p>
            <w:pPr>
              <w:jc w:val="right"/>
            </w:pPr>
            <w:r>
              <w:rPr>
                <w:color w:val="000000"/>
                <w:sz w:val="24"/>
                <w:szCs w:val="24"/>
              </w:rPr>
              <w:t>345,348.00</w:t>
            </w:r>
          </w:p>
        </w:tc>
        <w:tc>
          <w:tcPr>
            <w:vAlign w:val="center"/>
          </w:tcPr>
          <w:p>
            <w:pPr>
              <w:jc w:val="right"/>
            </w:pPr>
            <w:r>
              <w:rPr>
                <w:color w:val="000000"/>
                <w:sz w:val="24"/>
                <w:szCs w:val="24"/>
              </w:rPr>
              <w:t>0.42</w:t>
            </w:r>
          </w:p>
        </w:tc>
      </w:tr>
      <w:tr>
        <w:tc>
          <w:tcPr>
            <w:vAlign w:val="center"/>
          </w:tcPr>
          <w:p>
            <w:pPr>
              <w:jc w:val="center"/>
            </w:pPr>
            <w:r>
              <w:rPr>
                <w:color w:val="000000"/>
                <w:sz w:val="24"/>
                <w:szCs w:val="24"/>
              </w:rPr>
              <w:t>7</w:t>
            </w:r>
          </w:p>
        </w:tc>
        <w:tc>
          <w:tcPr>
            <w:vAlign w:val="center"/>
          </w:tcPr>
          <w:p>
            <w:pPr>
              <w:jc w:val="center"/>
            </w:pPr>
            <w:r>
              <w:rPr>
                <w:color w:val="000000"/>
                <w:sz w:val="24"/>
                <w:szCs w:val="24"/>
              </w:rPr>
              <w:t>600519</w:t>
            </w:r>
          </w:p>
        </w:tc>
        <w:tc>
          <w:tcPr>
            <w:vAlign w:val="center"/>
          </w:tcPr>
          <w:p>
            <w:pPr>
              <w:jc w:val="center"/>
            </w:pPr>
            <w:r>
              <w:rPr>
                <w:color w:val="000000"/>
                <w:sz w:val="24"/>
                <w:szCs w:val="24"/>
              </w:rPr>
              <w:t>贵州茅台</w:t>
            </w:r>
          </w:p>
        </w:tc>
        <w:tc>
          <w:tcPr>
            <w:vAlign w:val="center"/>
          </w:tcPr>
          <w:p>
            <w:pPr>
              <w:jc w:val="right"/>
            </w:pPr>
            <w:r>
              <w:rPr>
                <w:color w:val="000000"/>
                <w:sz w:val="24"/>
                <w:szCs w:val="24"/>
              </w:rPr>
              <w:t>300</w:t>
            </w:r>
          </w:p>
        </w:tc>
        <w:tc>
          <w:tcPr>
            <w:vAlign w:val="center"/>
          </w:tcPr>
          <w:p>
            <w:pPr>
              <w:jc w:val="right"/>
            </w:pPr>
            <w:r>
              <w:rPr>
                <w:color w:val="000000"/>
                <w:sz w:val="24"/>
                <w:szCs w:val="24"/>
              </w:rPr>
              <w:t>345,000.00</w:t>
            </w:r>
          </w:p>
        </w:tc>
        <w:tc>
          <w:tcPr>
            <w:vAlign w:val="center"/>
          </w:tcPr>
          <w:p>
            <w:pPr>
              <w:jc w:val="right"/>
            </w:pPr>
            <w:r>
              <w:rPr>
                <w:color w:val="000000"/>
                <w:sz w:val="24"/>
                <w:szCs w:val="24"/>
              </w:rPr>
              <w:t>0.42</w:t>
            </w:r>
          </w:p>
        </w:tc>
      </w:tr>
      <w:tr>
        <w:tc>
          <w:tcPr>
            <w:vAlign w:val="center"/>
          </w:tcPr>
          <w:p>
            <w:pPr>
              <w:jc w:val="center"/>
            </w:pPr>
            <w:r>
              <w:rPr>
                <w:color w:val="000000"/>
                <w:sz w:val="24"/>
                <w:szCs w:val="24"/>
              </w:rPr>
              <w:t>8</w:t>
            </w:r>
          </w:p>
        </w:tc>
        <w:tc>
          <w:tcPr>
            <w:vAlign w:val="center"/>
          </w:tcPr>
          <w:p>
            <w:pPr>
              <w:jc w:val="center"/>
            </w:pPr>
            <w:r>
              <w:rPr>
                <w:color w:val="000000"/>
                <w:sz w:val="24"/>
                <w:szCs w:val="24"/>
              </w:rPr>
              <w:t>600016</w:t>
            </w:r>
          </w:p>
        </w:tc>
        <w:tc>
          <w:tcPr>
            <w:vAlign w:val="center"/>
          </w:tcPr>
          <w:p>
            <w:pPr>
              <w:jc w:val="center"/>
            </w:pPr>
            <w:r>
              <w:rPr>
                <w:color w:val="000000"/>
                <w:sz w:val="24"/>
                <w:szCs w:val="24"/>
              </w:rPr>
              <w:t>民生银行</w:t>
            </w:r>
          </w:p>
        </w:tc>
        <w:tc>
          <w:tcPr>
            <w:vAlign w:val="center"/>
          </w:tcPr>
          <w:p>
            <w:pPr>
              <w:jc w:val="right"/>
            </w:pPr>
            <w:r>
              <w:rPr>
                <w:color w:val="000000"/>
                <w:sz w:val="24"/>
                <w:szCs w:val="24"/>
              </w:rPr>
              <w:t>47,200</w:t>
            </w:r>
          </w:p>
        </w:tc>
        <w:tc>
          <w:tcPr>
            <w:vAlign w:val="center"/>
          </w:tcPr>
          <w:p>
            <w:pPr>
              <w:jc w:val="right"/>
            </w:pPr>
            <w:r>
              <w:rPr>
                <w:color w:val="000000"/>
                <w:sz w:val="24"/>
                <w:szCs w:val="24"/>
              </w:rPr>
              <w:t>284,144.00</w:t>
            </w:r>
          </w:p>
        </w:tc>
        <w:tc>
          <w:tcPr>
            <w:vAlign w:val="center"/>
          </w:tcPr>
          <w:p>
            <w:pPr>
              <w:jc w:val="right"/>
            </w:pPr>
            <w:r>
              <w:rPr>
                <w:color w:val="000000"/>
                <w:sz w:val="24"/>
                <w:szCs w:val="24"/>
              </w:rPr>
              <w:t>0.35</w:t>
            </w:r>
          </w:p>
        </w:tc>
      </w:tr>
      <w:tr>
        <w:tc>
          <w:tcPr>
            <w:vAlign w:val="center"/>
          </w:tcPr>
          <w:p>
            <w:pPr>
              <w:jc w:val="center"/>
            </w:pPr>
            <w:r>
              <w:rPr>
                <w:color w:val="000000"/>
                <w:sz w:val="24"/>
                <w:szCs w:val="24"/>
              </w:rPr>
              <w:t>9</w:t>
            </w:r>
          </w:p>
        </w:tc>
        <w:tc>
          <w:tcPr>
            <w:vAlign w:val="center"/>
          </w:tcPr>
          <w:p>
            <w:pPr>
              <w:jc w:val="center"/>
            </w:pPr>
            <w:r>
              <w:rPr>
                <w:color w:val="000000"/>
                <w:sz w:val="24"/>
                <w:szCs w:val="24"/>
              </w:rPr>
              <w:t>600000</w:t>
            </w:r>
          </w:p>
        </w:tc>
        <w:tc>
          <w:tcPr>
            <w:vAlign w:val="center"/>
          </w:tcPr>
          <w:p>
            <w:pPr>
              <w:jc w:val="center"/>
            </w:pPr>
            <w:r>
              <w:rPr>
                <w:color w:val="000000"/>
                <w:sz w:val="24"/>
                <w:szCs w:val="24"/>
              </w:rPr>
              <w:t>浦发银行</w:t>
            </w:r>
          </w:p>
        </w:tc>
        <w:tc>
          <w:tcPr>
            <w:vAlign w:val="center"/>
          </w:tcPr>
          <w:p>
            <w:pPr>
              <w:jc w:val="right"/>
            </w:pPr>
            <w:r>
              <w:rPr>
                <w:color w:val="000000"/>
                <w:sz w:val="24"/>
                <w:szCs w:val="24"/>
              </w:rPr>
              <w:t>23,400</w:t>
            </w:r>
          </w:p>
        </w:tc>
        <w:tc>
          <w:tcPr>
            <w:vAlign w:val="center"/>
          </w:tcPr>
          <w:p>
            <w:pPr>
              <w:jc w:val="right"/>
            </w:pPr>
            <w:r>
              <w:rPr>
                <w:color w:val="000000"/>
                <w:sz w:val="24"/>
                <w:szCs w:val="24"/>
              </w:rPr>
              <w:t>277,056.00</w:t>
            </w:r>
          </w:p>
        </w:tc>
        <w:tc>
          <w:tcPr>
            <w:vAlign w:val="center"/>
          </w:tcPr>
          <w:p>
            <w:pPr>
              <w:jc w:val="right"/>
            </w:pPr>
            <w:r>
              <w:rPr>
                <w:color w:val="000000"/>
                <w:sz w:val="24"/>
                <w:szCs w:val="24"/>
              </w:rPr>
              <w:t>0.34</w:t>
            </w:r>
          </w:p>
        </w:tc>
      </w:tr>
      <w:tr>
        <w:tc>
          <w:tcPr>
            <w:vAlign w:val="center"/>
          </w:tcPr>
          <w:p>
            <w:pPr>
              <w:jc w:val="center"/>
            </w:pPr>
            <w:r>
              <w:rPr>
                <w:color w:val="000000"/>
                <w:sz w:val="24"/>
                <w:szCs w:val="24"/>
              </w:rPr>
              <w:t>10</w:t>
            </w:r>
          </w:p>
        </w:tc>
        <w:tc>
          <w:tcPr>
            <w:vAlign w:val="center"/>
          </w:tcPr>
          <w:p>
            <w:pPr>
              <w:jc w:val="center"/>
            </w:pPr>
            <w:r>
              <w:rPr>
                <w:color w:val="000000"/>
                <w:sz w:val="24"/>
                <w:szCs w:val="24"/>
              </w:rPr>
              <w:t>603369</w:t>
            </w:r>
          </w:p>
        </w:tc>
        <w:tc>
          <w:tcPr>
            <w:vAlign w:val="center"/>
          </w:tcPr>
          <w:p>
            <w:pPr>
              <w:jc w:val="center"/>
            </w:pPr>
            <w:r>
              <w:rPr>
                <w:color w:val="000000"/>
                <w:sz w:val="24"/>
                <w:szCs w:val="24"/>
              </w:rPr>
              <w:t>今世缘</w:t>
            </w:r>
          </w:p>
        </w:tc>
        <w:tc>
          <w:tcPr>
            <w:vAlign w:val="center"/>
          </w:tcPr>
          <w:p>
            <w:pPr>
              <w:jc w:val="right"/>
            </w:pPr>
            <w:r>
              <w:rPr>
                <w:color w:val="000000"/>
                <w:sz w:val="24"/>
                <w:szCs w:val="24"/>
              </w:rPr>
              <w:t>8,400</w:t>
            </w:r>
          </w:p>
        </w:tc>
        <w:tc>
          <w:tcPr>
            <w:vAlign w:val="center"/>
          </w:tcPr>
          <w:p>
            <w:pPr>
              <w:jc w:val="right"/>
            </w:pPr>
            <w:r>
              <w:rPr>
                <w:color w:val="000000"/>
                <w:sz w:val="24"/>
                <w:szCs w:val="24"/>
              </w:rPr>
              <w:t>271,488.00</w:t>
            </w:r>
          </w:p>
        </w:tc>
        <w:tc>
          <w:tcPr>
            <w:vAlign w:val="center"/>
          </w:tcPr>
          <w:p>
            <w:pPr>
              <w:jc w:val="right"/>
            </w:pPr>
            <w:r>
              <w:rPr>
                <w:color w:val="000000"/>
                <w:sz w:val="24"/>
                <w:szCs w:val="24"/>
              </w:rPr>
              <w:t>0.33</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P="009C1009" w:rsidR="00CE7169" w:rsidRDefault="009C1009" w:rsidRPr="00CE716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Look w:firstColumn="1" w:firstRow="1" w:lastColumn="0" w:lastRow="0" w:noHBand="0" w:noVBand="1" w:val="04A0"/>
      </w:tblPr>
      <w:tblGrid>
        <w:gridCol w:w="828"/>
        <w:gridCol w:w="3302"/>
        <w:gridCol w:w="2987"/>
        <w:gridCol w:w="1751"/>
      </w:tblGrid>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序号</w:t>
            </w:r>
          </w:p>
        </w:tc>
        <w:tc>
          <w:tcPr>
            <w:tcW w:type="dxa" w:w="3302"/>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债券品种</w:t>
            </w:r>
            <w:r w:rsidR="00F71057" w:rsidRPr="00414345">
              <w:rPr>
                <w:color w:val="000000"/>
                <w:sz w:val="24"/>
                <w:szCs w:val="24"/>
              </w:rPr>
              <w:t/>
            </w:r>
          </w:p>
        </w:tc>
        <w:tc>
          <w:tcPr>
            <w:tcW w:type="dxa" w:w="2987"/>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公允价值</w:t>
            </w:r>
          </w:p>
        </w:tc>
        <w:tc>
          <w:tcPr>
            <w:tcW w:type="dxa" w:w="1751"/>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1</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国家债券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lastRenderedPageBreak/>
              <w:t>2</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央行票据</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3</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金融债券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其中：政策性金融债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4</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5</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type="dxa" w:w="828"/>
            <w:vAlign w:val="center"/>
          </w:tcPr>
          <w:p w:rsidP="00C15CAC" w:rsidR="00FB41D3" w:rsidRDefault="00FB41D3" w:rsidRPr="00414345">
            <w:pPr>
              <w:spacing w:before="29" w:line="288" w:lineRule="auto"/>
              <w:ind w:left="17"/>
              <w:jc w:val="center"/>
              <w:rPr>
                <w:color w:val="000000"/>
                <w:sz w:val="24"/>
                <w:szCs w:val="24"/>
              </w:rPr>
            </w:pPr>
            <w:r w:rsidRPr="00414345">
              <w:rPr>
                <w:color w:val="000000"/>
                <w:sz w:val="24"/>
                <w:szCs w:val="24"/>
              </w:rPr>
              <w:t>6</w:t>
            </w:r>
          </w:p>
        </w:tc>
        <w:tc>
          <w:tcPr>
            <w:tcW w:type="dxa" w:w="3302"/>
            <w:vAlign w:val="center"/>
          </w:tcPr>
          <w:p w:rsidP="00C15CAC" w:rsidR="00FB41D3" w:rsidRDefault="00FB41D3" w:rsidRPr="00414345">
            <w:pPr>
              <w:spacing w:before="29" w:line="288" w:lineRule="auto"/>
              <w:ind w:left="17"/>
              <w:jc w:val="left"/>
              <w:rPr>
                <w:color w:val="000000"/>
                <w:sz w:val="24"/>
                <w:szCs w:val="24"/>
              </w:rPr>
            </w:pPr>
            <w:r w:rsidRPr="00414345">
              <w:rPr>
                <w:color w:val="000000"/>
                <w:sz w:val="24"/>
                <w:szCs w:val="24"/>
              </w:rPr>
              <w:t>中期票据</w:t>
            </w:r>
          </w:p>
        </w:tc>
        <w:tc>
          <w:tcPr>
            <w:tcW w:type="dxa" w:w="2987"/>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FB41D3" w:rsidRPr="00414345">
            <w:pPr>
              <w:spacing w:before="29" w:line="288" w:lineRule="auto"/>
              <w:ind w:left="17"/>
              <w:jc w:val="center"/>
              <w:rPr>
                <w:color w:val="000000"/>
                <w:sz w:val="24"/>
                <w:szCs w:val="24"/>
              </w:rPr>
            </w:pPr>
            <w:r w:rsidRPr="00414345">
              <w:rPr>
                <w:color w:val="000000"/>
                <w:sz w:val="24"/>
                <w:szCs w:val="24"/>
              </w:rPr>
              <w:lastRenderedPageBreak/>
              <w:t>7</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type="dxa" w:w="828"/>
            <w:vAlign w:val="center"/>
          </w:tcPr>
          <w:p w:rsidP="0006711A" w:rsidR="00F323FF" w:rsidRDefault="00F323FF" w:rsidRPr="007A70C2">
            <w:pPr>
              <w:spacing w:before="29" w:line="288" w:lineRule="auto"/>
              <w:ind w:left="17"/>
              <w:jc w:val="center"/>
              <w:rPr>
                <w:color w:val="000000"/>
                <w:sz w:val="24"/>
                <w:szCs w:val="24"/>
              </w:rPr>
            </w:pPr>
            <w:r w:rsidRPr="007A70C2">
              <w:rPr>
                <w:rFonts w:hint="eastAsia"/>
                <w:color w:val="000000"/>
                <w:sz w:val="24"/>
                <w:szCs w:val="24"/>
              </w:rPr>
              <w:t>8</w:t>
            </w:r>
          </w:p>
        </w:tc>
        <w:tc>
          <w:tcPr>
            <w:tcW w:type="dxa" w:w="3302"/>
            <w:vAlign w:val="center"/>
          </w:tcPr>
          <w:p w:rsidP="0006711A" w:rsidR="00F323FF" w:rsidRDefault="00F323FF" w:rsidRPr="007A70C2">
            <w:pPr>
              <w:spacing w:before="29" w:line="288" w:lineRule="auto"/>
              <w:ind w:left="17"/>
              <w:jc w:val="left"/>
              <w:rPr>
                <w:color w:val="000000"/>
                <w:sz w:val="24"/>
                <w:szCs w:val="24"/>
              </w:rPr>
            </w:pPr>
            <w:r w:rsidRPr="007A70C2">
              <w:rPr>
                <w:rFonts w:hint="eastAsia"/>
                <w:color w:val="000000"/>
                <w:sz w:val="24"/>
                <w:szCs w:val="24"/>
              </w:rPr>
              <w:t>同业存单</w:t>
            </w:r>
          </w:p>
        </w:tc>
        <w:tc>
          <w:tcPr>
            <w:tcW w:type="dxa" w:w="2987"/>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48,889,000.00</w:t>
            </w:r>
          </w:p>
        </w:tc>
        <w:tc>
          <w:tcPr>
            <w:tcW w:type="dxa" w:w="1751"/>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59.75</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9</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其他</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10</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合计</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48,889,000.00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59.75</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P="009C1009" w:rsidR="005B4C8F" w:rsidRDefault="009C1009" w:rsidRPr="005B4C8F">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850"/>
        <w:gridCol w:w="1475"/>
        <w:gridCol w:w="1769"/>
        <w:gridCol w:w="1387"/>
        <w:gridCol w:w="2150"/>
        <w:gridCol w:w="1237"/>
      </w:tblGrid>
      <w:tr w:rsidR="00D57B7C" w:rsidRPr="00414345" w:rsidTr="00A324F4">
        <w:trPr>
          <w:jc w:val="center"/>
        </w:trPr>
        <w:tc>
          <w:tcPr>
            <w:tcW w:type="dxa" w:w="817"/>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41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债券代码</w:t>
            </w:r>
          </w:p>
        </w:tc>
        <w:tc>
          <w:tcPr>
            <w:tcW w:type="dxa" w:w="170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债券名称</w:t>
            </w:r>
          </w:p>
        </w:tc>
        <w:tc>
          <w:tcPr>
            <w:tcW w:type="dxa" w:w="1334"/>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type="dxa" w:w="206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公允价值</w:t>
            </w:r>
          </w:p>
        </w:tc>
        <w:tc>
          <w:tcPr>
            <w:tcW w:type="dxa" w:w="1190"/>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w:t>
            </w:r>
            <w:r w:rsidRPr="00414345">
              <w:rPr>
                <w:color w:val="000000"/>
                <w:sz w:val="24"/>
                <w:szCs w:val="24"/>
              </w:rPr>
              <w:lastRenderedPageBreak/>
              <w:t>例</w:t>
            </w:r>
            <w:r w:rsidR="003B3494"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111905063</w:t>
            </w:r>
          </w:p>
        </w:tc>
        <w:tc>
          <w:tcPr>
            <w:vAlign w:val="center"/>
          </w:tcPr>
          <w:p>
            <w:pPr>
              <w:jc w:val="center"/>
            </w:pPr>
            <w:r>
              <w:rPr>
                <w:color w:val="000000"/>
                <w:sz w:val="24"/>
                <w:szCs w:val="24"/>
              </w:rPr>
              <w:t>19建设银行CD063</w:t>
            </w:r>
          </w:p>
        </w:tc>
        <w:tc>
          <w:tcPr>
            <w:vAlign w:val="center"/>
          </w:tcPr>
          <w:p>
            <w:pPr>
              <w:jc w:val="right"/>
            </w:pPr>
            <w:r>
              <w:rPr>
                <w:color w:val="000000"/>
                <w:sz w:val="24"/>
                <w:szCs w:val="24"/>
              </w:rPr>
              <w:t>100,000</w:t>
            </w:r>
          </w:p>
        </w:tc>
        <w:tc>
          <w:tcPr>
            <w:vAlign w:val="center"/>
          </w:tcPr>
          <w:p>
            <w:pPr>
              <w:jc w:val="right"/>
            </w:pPr>
            <w:r>
              <w:rPr>
                <w:color w:val="000000"/>
                <w:sz w:val="24"/>
                <w:szCs w:val="24"/>
              </w:rPr>
              <w:t>9,781,000.00</w:t>
            </w:r>
          </w:p>
        </w:tc>
        <w:tc>
          <w:tcPr>
            <w:vAlign w:val="center"/>
          </w:tcPr>
          <w:p>
            <w:pPr>
              <w:jc w:val="right"/>
            </w:pPr>
            <w:r>
              <w:rPr>
                <w:color w:val="000000"/>
                <w:sz w:val="24"/>
                <w:szCs w:val="24"/>
              </w:rPr>
              <w:t>11.95</w:t>
            </w:r>
          </w:p>
        </w:tc>
      </w:tr>
      <w:tr>
        <w:tc>
          <w:tcPr>
            <w:vAlign w:val="center"/>
          </w:tcPr>
          <w:p>
            <w:pPr>
              <w:jc w:val="center"/>
            </w:pPr>
            <w:r>
              <w:rPr>
                <w:color w:val="000000"/>
                <w:sz w:val="24"/>
                <w:szCs w:val="24"/>
              </w:rPr>
              <w:t>2</w:t>
            </w:r>
          </w:p>
        </w:tc>
        <w:tc>
          <w:tcPr>
            <w:vAlign w:val="center"/>
          </w:tcPr>
          <w:p>
            <w:pPr>
              <w:jc w:val="center"/>
            </w:pPr>
            <w:r>
              <w:rPr>
                <w:color w:val="000000"/>
                <w:sz w:val="24"/>
                <w:szCs w:val="24"/>
              </w:rPr>
              <w:t>111918186</w:t>
            </w:r>
          </w:p>
        </w:tc>
        <w:tc>
          <w:tcPr>
            <w:vAlign w:val="center"/>
          </w:tcPr>
          <w:p>
            <w:pPr>
              <w:jc w:val="center"/>
            </w:pPr>
            <w:r>
              <w:rPr>
                <w:color w:val="000000"/>
                <w:sz w:val="24"/>
                <w:szCs w:val="24"/>
              </w:rPr>
              <w:t>19华夏银行CD186</w:t>
            </w:r>
          </w:p>
        </w:tc>
        <w:tc>
          <w:tcPr>
            <w:vAlign w:val="center"/>
          </w:tcPr>
          <w:p>
            <w:pPr>
              <w:jc w:val="right"/>
            </w:pPr>
            <w:r>
              <w:rPr>
                <w:color w:val="000000"/>
                <w:sz w:val="24"/>
                <w:szCs w:val="24"/>
              </w:rPr>
              <w:t>100,000</w:t>
            </w:r>
          </w:p>
        </w:tc>
        <w:tc>
          <w:tcPr>
            <w:vAlign w:val="center"/>
          </w:tcPr>
          <w:p>
            <w:pPr>
              <w:jc w:val="right"/>
            </w:pPr>
            <w:r>
              <w:rPr>
                <w:color w:val="000000"/>
                <w:sz w:val="24"/>
                <w:szCs w:val="24"/>
              </w:rPr>
              <w:t>9,777,000.00</w:t>
            </w:r>
          </w:p>
        </w:tc>
        <w:tc>
          <w:tcPr>
            <w:vAlign w:val="center"/>
          </w:tcPr>
          <w:p>
            <w:pPr>
              <w:jc w:val="right"/>
            </w:pPr>
            <w:r>
              <w:rPr>
                <w:color w:val="000000"/>
                <w:sz w:val="24"/>
                <w:szCs w:val="24"/>
              </w:rPr>
              <w:t>11.95</w:t>
            </w:r>
          </w:p>
        </w:tc>
      </w:tr>
      <w:tr>
        <w:tc>
          <w:tcPr>
            <w:vAlign w:val="center"/>
          </w:tcPr>
          <w:p>
            <w:pPr>
              <w:jc w:val="center"/>
            </w:pPr>
            <w:r>
              <w:rPr>
                <w:color w:val="000000"/>
                <w:sz w:val="24"/>
                <w:szCs w:val="24"/>
              </w:rPr>
              <w:t>3</w:t>
            </w:r>
          </w:p>
        </w:tc>
        <w:tc>
          <w:tcPr>
            <w:vAlign w:val="center"/>
          </w:tcPr>
          <w:p>
            <w:pPr>
              <w:jc w:val="center"/>
            </w:pPr>
            <w:r>
              <w:rPr>
                <w:color w:val="000000"/>
                <w:sz w:val="24"/>
                <w:szCs w:val="24"/>
              </w:rPr>
              <w:t>111915226</w:t>
            </w:r>
          </w:p>
        </w:tc>
        <w:tc>
          <w:tcPr>
            <w:vAlign w:val="center"/>
          </w:tcPr>
          <w:p>
            <w:pPr>
              <w:jc w:val="center"/>
            </w:pPr>
            <w:r>
              <w:rPr>
                <w:color w:val="000000"/>
                <w:sz w:val="24"/>
                <w:szCs w:val="24"/>
              </w:rPr>
              <w:t>19民生银行CD226</w:t>
            </w:r>
          </w:p>
        </w:tc>
        <w:tc>
          <w:tcPr>
            <w:vAlign w:val="center"/>
          </w:tcPr>
          <w:p>
            <w:pPr>
              <w:jc w:val="right"/>
            </w:pPr>
            <w:r>
              <w:rPr>
                <w:color w:val="000000"/>
                <w:sz w:val="24"/>
                <w:szCs w:val="24"/>
              </w:rPr>
              <w:t>100,000</w:t>
            </w:r>
          </w:p>
        </w:tc>
        <w:tc>
          <w:tcPr>
            <w:vAlign w:val="center"/>
          </w:tcPr>
          <w:p>
            <w:pPr>
              <w:jc w:val="right"/>
            </w:pPr>
            <w:r>
              <w:rPr>
                <w:color w:val="000000"/>
                <w:sz w:val="24"/>
                <w:szCs w:val="24"/>
              </w:rPr>
              <w:t>9,777,000.00</w:t>
            </w:r>
          </w:p>
        </w:tc>
        <w:tc>
          <w:tcPr>
            <w:vAlign w:val="center"/>
          </w:tcPr>
          <w:p>
            <w:pPr>
              <w:jc w:val="right"/>
            </w:pPr>
            <w:r>
              <w:rPr>
                <w:color w:val="000000"/>
                <w:sz w:val="24"/>
                <w:szCs w:val="24"/>
              </w:rPr>
              <w:t>11.95</w:t>
            </w:r>
          </w:p>
        </w:tc>
      </w:tr>
      <w:tr>
        <w:tc>
          <w:tcPr>
            <w:vAlign w:val="center"/>
          </w:tcPr>
          <w:p>
            <w:pPr>
              <w:jc w:val="center"/>
            </w:pPr>
            <w:r>
              <w:rPr>
                <w:color w:val="000000"/>
                <w:sz w:val="24"/>
                <w:szCs w:val="24"/>
              </w:rPr>
              <w:t>4</w:t>
            </w:r>
          </w:p>
        </w:tc>
        <w:tc>
          <w:tcPr>
            <w:vAlign w:val="center"/>
          </w:tcPr>
          <w:p>
            <w:pPr>
              <w:jc w:val="center"/>
            </w:pPr>
            <w:r>
              <w:rPr>
                <w:color w:val="000000"/>
                <w:sz w:val="24"/>
                <w:szCs w:val="24"/>
              </w:rPr>
              <w:t>111909177</w:t>
            </w:r>
          </w:p>
        </w:tc>
        <w:tc>
          <w:tcPr>
            <w:vAlign w:val="center"/>
          </w:tcPr>
          <w:p>
            <w:pPr>
              <w:jc w:val="center"/>
            </w:pPr>
            <w:r>
              <w:rPr>
                <w:color w:val="000000"/>
                <w:sz w:val="24"/>
                <w:szCs w:val="24"/>
              </w:rPr>
              <w:t>19浦发银行CD177</w:t>
            </w:r>
          </w:p>
        </w:tc>
        <w:tc>
          <w:tcPr>
            <w:vAlign w:val="center"/>
          </w:tcPr>
          <w:p>
            <w:pPr>
              <w:jc w:val="right"/>
            </w:pPr>
            <w:r>
              <w:rPr>
                <w:color w:val="000000"/>
                <w:sz w:val="24"/>
                <w:szCs w:val="24"/>
              </w:rPr>
              <w:t>100,000</w:t>
            </w:r>
          </w:p>
        </w:tc>
        <w:tc>
          <w:tcPr>
            <w:vAlign w:val="center"/>
          </w:tcPr>
          <w:p>
            <w:pPr>
              <w:jc w:val="right"/>
            </w:pPr>
            <w:r>
              <w:rPr>
                <w:color w:val="000000"/>
                <w:sz w:val="24"/>
                <w:szCs w:val="24"/>
              </w:rPr>
              <w:t>9,777,000.00</w:t>
            </w:r>
          </w:p>
        </w:tc>
        <w:tc>
          <w:tcPr>
            <w:vAlign w:val="center"/>
          </w:tcPr>
          <w:p>
            <w:pPr>
              <w:jc w:val="right"/>
            </w:pPr>
            <w:r>
              <w:rPr>
                <w:color w:val="000000"/>
                <w:sz w:val="24"/>
                <w:szCs w:val="24"/>
              </w:rPr>
              <w:t>11.95</w:t>
            </w:r>
          </w:p>
        </w:tc>
      </w:tr>
      <w:tr>
        <w:tc>
          <w:tcPr>
            <w:vAlign w:val="center"/>
          </w:tcPr>
          <w:p>
            <w:pPr>
              <w:jc w:val="center"/>
            </w:pPr>
            <w:r>
              <w:rPr>
                <w:color w:val="000000"/>
                <w:sz w:val="24"/>
                <w:szCs w:val="24"/>
              </w:rPr>
              <w:t>5</w:t>
            </w:r>
          </w:p>
        </w:tc>
        <w:tc>
          <w:tcPr>
            <w:vAlign w:val="center"/>
          </w:tcPr>
          <w:p>
            <w:pPr>
              <w:jc w:val="center"/>
            </w:pPr>
            <w:r>
              <w:rPr>
                <w:color w:val="000000"/>
                <w:sz w:val="24"/>
                <w:szCs w:val="24"/>
              </w:rPr>
              <w:t>111910240</w:t>
            </w:r>
          </w:p>
        </w:tc>
        <w:tc>
          <w:tcPr>
            <w:vAlign w:val="center"/>
          </w:tcPr>
          <w:p>
            <w:pPr>
              <w:jc w:val="center"/>
            </w:pPr>
            <w:r>
              <w:rPr>
                <w:color w:val="000000"/>
                <w:sz w:val="24"/>
                <w:szCs w:val="24"/>
              </w:rPr>
              <w:t>19兴业银行CD240</w:t>
            </w:r>
          </w:p>
        </w:tc>
        <w:tc>
          <w:tcPr>
            <w:vAlign w:val="center"/>
          </w:tcPr>
          <w:p>
            <w:pPr>
              <w:jc w:val="right"/>
            </w:pPr>
            <w:r>
              <w:rPr>
                <w:color w:val="000000"/>
                <w:sz w:val="24"/>
                <w:szCs w:val="24"/>
              </w:rPr>
              <w:t>100,000</w:t>
            </w:r>
          </w:p>
        </w:tc>
        <w:tc>
          <w:tcPr>
            <w:vAlign w:val="center"/>
          </w:tcPr>
          <w:p>
            <w:pPr>
              <w:jc w:val="right"/>
            </w:pPr>
            <w:r>
              <w:rPr>
                <w:color w:val="000000"/>
                <w:sz w:val="24"/>
                <w:szCs w:val="24"/>
              </w:rPr>
              <w:t>9,777,000.00</w:t>
            </w:r>
          </w:p>
        </w:tc>
        <w:tc>
          <w:tcPr>
            <w:vAlign w:val="center"/>
          </w:tcPr>
          <w:p>
            <w:pPr>
              <w:jc w:val="right"/>
            </w:pPr>
            <w:r>
              <w:rPr>
                <w:color w:val="000000"/>
                <w:sz w:val="24"/>
                <w:szCs w:val="24"/>
              </w:rPr>
              <w:t>11.95</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本基金本报告期末未持有资产支持证券。</w:t>
      </w:r>
    </w:p>
    <w:p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P="00C15CAC" w:rsidR="00632B0F" w:rsidRDefault="00632B0F" w:rsidRPr="00414345">
      <w:pPr>
        <w:widowControl/>
        <w:spacing w:line="288" w:lineRule="auto"/>
        <w:jc w:val="left"/>
        <w:rPr>
          <w:sz w:val="24"/>
          <w:szCs w:val="24"/>
        </w:rPr>
      </w:pPr>
      <w:r w:rsidRPr="00414345">
        <w:rPr>
          <w:sz w:val="24"/>
          <w:szCs w:val="24"/>
        </w:rPr>
        <w:t>本基金本报告期末未持有贵金属。</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P="00C15CAC" w:rsidR="00AA3A38" w:rsidRDefault="00AA3A38" w:rsidRPr="00414345">
      <w:pPr>
        <w:adjustRightInd w:val="0"/>
        <w:snapToGrid w:val="0"/>
        <w:spacing w:before="29" w:line="288" w:lineRule="auto"/>
        <w:rPr>
          <w:sz w:val="24"/>
          <w:szCs w:val="24"/>
        </w:rPr>
      </w:pPr>
    </w:p>
    <w:p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P="00C15CAC" w:rsidR="00426096" w:rsidRDefault="00426096" w:rsidRPr="00414345">
      <w:pPr>
        <w:autoSpaceDE w:val="0"/>
        <w:autoSpaceDN w:val="0"/>
        <w:adjustRightInd w:val="0"/>
        <w:spacing w:before="29" w:line="288" w:lineRule="auto"/>
        <w:jc w:val="left"/>
        <w:rPr>
          <w:color w:val="000000"/>
          <w:sz w:val="24"/>
          <w:szCs w:val="24"/>
        </w:rPr>
      </w:pPr>
    </w:p>
    <w:p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P="00E40D31" w:rsidR="00BE5388" w:rsidRDefault="00BE5388" w:rsidRPr="00BE5388">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5.11.1报告期内本基金投资的前十名证券的发行主体除19民生银行CD226（证券代码：111915226）外，未出现被监管部门立案调查，或在报告编制日前一年内受到公开谴责、处罚的情形。</w:t>
      </w:r>
    </w:p>
    <w:p>
      <w:pPr>
        <w:autoSpaceDE w:val="0"/>
        <w:autoSpaceDN w:val="0"/>
        <w:adjustRightInd w:val="0"/>
        <w:spacing w:before="29" w:line="288" w:lineRule="auto"/>
        <w:jc w:val="left"/>
        <w:rPr>
          <w:bCs/>
          <w:color w:val="000000"/>
          <w:kern w:val="0"/>
          <w:sz w:val="24"/>
          <w:szCs w:val="24"/>
        </w:rPr>
      </w:pPr>
      <w:r>
        <w:rPr>
          <w:bCs/>
          <w:color w:val="000000"/>
          <w:kern w:val="0"/>
          <w:sz w:val="24"/>
          <w:szCs w:val="24"/>
        </w:rPr>
        <w:t>报告期内本基金投资的前十名证券之一19民生银行CD226（证券代码：111915226）的发行主体民生银行，根据银保监会2018年12月7日公布的《中国银行保险监督管理委员会行政处罚信息公开表(银保监银罚决字〔2018〕5号)》，因存在贷款业务严重违反审慎经营规则等违法违规事实，被中国银行保险监督管理委员会处以行政处罚，罚款200万元；根据银保监会2018年12月7日公布的《中国银行保险监督管理委员会行政处罚信息公开表(银保监银罚决字〔2018〕8号)》，因存在内控管理严重违反审慎经营规则、同业投资违规接受担保、同业投资、理财资金违规投资房地产，用于缴交或置换土地出让金及土地储备融资、本行理财产品之间风险隔离不到位、个人理财资金违规投资、票据代理未明示，增信未簿记和计提资本占用、为非保本理财产品提供保本承诺等违法违规事实，被中国银行保险监督管理委员会处以行政处罚，罚款3160万元。</w:t>
      </w:r>
    </w:p>
    <w:p>
      <w:pPr>
        <w:autoSpaceDE w:val="0"/>
        <w:autoSpaceDN w:val="0"/>
        <w:adjustRightInd w:val="0"/>
        <w:spacing w:before="29" w:line="288" w:lineRule="auto"/>
        <w:jc w:val="left"/>
        <w:rPr>
          <w:bCs/>
          <w:color w:val="000000"/>
          <w:kern w:val="0"/>
          <w:sz w:val="24"/>
          <w:szCs w:val="24"/>
        </w:rPr>
      </w:pPr>
      <w:r>
        <w:rPr>
          <w:bCs/>
          <w:color w:val="000000"/>
          <w:kern w:val="0"/>
          <w:sz w:val="24"/>
          <w:szCs w:val="24"/>
        </w:rPr>
        <w:t>本基金管理人对该证券投资决策程序的说明如下：本基金管理人对证券投资特别是重仓个券的投资有严格的投资决策流程控制。本基金在对该证券的投资也严格执行投资决策流程。在对该证券的选择上，严格执行公司个券审核流程。在对该证券的持有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rsidP="00E40D31" w:rsidR="00BE5388" w:rsidRDefault="00BE5388" w:rsidRPr="00BE5388">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5.11.2本基金投资的前十名股票中，没有超出基金合同规定的备选股票库之外的股票。</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P="00DD7A00" w:rsidR="00DD7A00" w:rsidRDefault="004A0AA9" w:rsidRPr="00414345">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
      </w:r>
      <w:r w:rsidRPr="004A0AA9">
        <w:rPr>
          <w:rFonts w:hint="eastAsia"/>
          <w:bCs/>
          <w:color w:val="000000"/>
          <w:kern w:val="0"/>
          <w:sz w:val="24"/>
          <w:szCs w:val="24"/>
        </w:rPr>
        <w:t>金额单位：人民币元</w:t>
      </w:r>
    </w:p>
    <w:tbl>
      <w:tblPr>
        <w:tblStyle w:val="af7"/>
        <w:tblpPr w:horzAnchor="margin" w:leftFromText="180" w:rightFromText="180" w:tblpXSpec="center" w:tblpY="265" w:vertAnchor="text"/>
        <w:tblW w:type="dxa" w:w="8868"/>
        <w:jc w:val="center"/>
        <w:tblLayout w:type="fixed"/>
        <w:tblCellMar>
          <w:top w:type="dxa" w:w="-1"/>
          <w:bottom w:type="dxa" w:w="-1"/>
        </w:tblCellMar>
        <w:tblLook w:firstColumn="1" w:firstRow="1" w:lastColumn="0" w:lastRow="0" w:noHBand="0" w:noVBand="1" w:val="04A0"/>
      </w:tblPr>
      <w:tblGrid>
        <w:gridCol w:w="1287"/>
        <w:gridCol w:w="2573"/>
        <w:gridCol w:w="5008"/>
      </w:tblGrid>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33,584.48</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2</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489,277.11</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522,861.59</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本基金本报告期末未持有处于转股期的可转换债券。</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lastRenderedPageBreak/>
        <w:t/>
      </w:r>
      <w:r w:rsidR="004061AC" w:rsidRPr="00414345">
        <w:rPr>
          <w:color w:val="000000"/>
          <w:sz w:val="24"/>
          <w:szCs w:val="24"/>
        </w:rPr>
        <w:t/>
      </w:r>
      <w:r w:rsidR="008E326D" w:rsidRPr="00414345">
        <w:rPr>
          <w:color w:val="000000"/>
          <w:sz w:val="24"/>
          <w:szCs w:val="24"/>
        </w:rPr>
        <w:t/>
      </w:r>
      <w:r w:rsidR="004061AC" w:rsidRPr="00414345">
        <w:rPr>
          <w:color w:val="000000"/>
          <w:sz w:val="24"/>
          <w:szCs w:val="24"/>
        </w:rPr>
        <w:t>本基金本报告期末前十名股票中不存在流通受限情况。</w:t>
      </w:r>
    </w:p>
    <w:p w:rsidP="00C15CAC" w:rsidR="004061AC" w:rsidRDefault="00D02347" w:rsidRPr="006B0D08">
      <w:pPr>
        <w:autoSpaceDE w:val="0"/>
        <w:autoSpaceDN w:val="0"/>
        <w:adjustRightInd w:val="0"/>
        <w:spacing w:before="29" w:line="288" w:lineRule="auto"/>
        <w:jc w:val="left"/>
        <w:rPr>
          <w:b/>
          <w:bCs/>
          <w:color w:val="000000"/>
          <w:kern w:val="0"/>
          <w:sz w:val="24"/>
          <w:szCs w:val="24"/>
        </w:rPr>
      </w:pPr>
      <w:bookmarkStart w:id="2" w:name="_GoBack"/>
      <w:r w:rsidRPr="006B0D08">
        <w:rPr>
          <w:b/>
          <w:bCs/>
          <w:color w:val="000000"/>
          <w:kern w:val="0"/>
          <w:sz w:val="24"/>
          <w:szCs w:val="24"/>
        </w:rPr>
        <w:t/>
      </w:r>
      <w:r w:rsidR="003259C8"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bookmarkEnd w:id="2"/>
    <w:p w:rsidP="00E40D31" w:rsidR="006B2FF6" w:rsidRDefault="004061AC" w:rsidRPr="00414345">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P="00C15CAC" w:rsidR="006B2FF6" w:rsidRDefault="006B2FF6">
      <w:pPr>
        <w:spacing w:before="29" w:line="288" w:lineRule="auto"/>
        <w:ind w:firstLine="480" w:firstLineChars="200"/>
        <w:rPr>
          <w:color w:val="000000"/>
          <w:sz w:val="24"/>
          <w:szCs w:val="24"/>
        </w:rPr>
      </w:pPr>
    </w:p>
    <w:p w:rsidP="00C15CAC" w:rsidR="001F3E2A" w:rsidRDefault="001F3E2A">
      <w:pPr>
        <w:spacing w:before="29" w:line="288" w:lineRule="auto"/>
        <w:ind w:firstLine="480" w:firstLineChars="200"/>
        <w:rPr>
          <w:color w:val="000000"/>
          <w:sz w:val="24"/>
          <w:szCs w:val="24"/>
        </w:rPr>
      </w:pPr>
    </w:p>
    <w:p w:rsidP="00C15CAC" w:rsidR="001F3E2A" w:rsidRDefault="001F3E2A" w:rsidRPr="00414345">
      <w:pPr>
        <w:spacing w:before="29" w:line="288" w:lineRule="auto"/>
        <w:ind w:firstLine="480" w:firstLineChars="200"/>
        <w:rPr>
          <w:color w:val="000000"/>
          <w:sz w:val="24"/>
          <w:szCs w:val="24"/>
        </w:rPr>
      </w:pPr>
    </w:p>
    <w:p w:rsidP="0011537B" w:rsidR="004061AC" w:rsidRDefault="0072794E" w:rsidRPr="005A3D62">
      <w:pPr>
        <w:pStyle w:val="1"/>
        <w:spacing w:after="312" w:afterLines="100" w:before="312" w:beforeLines="100" w:line="360" w:lineRule="auto"/>
        <w:jc w:val="center"/>
        <w:rPr>
          <w:rFonts w:eastAsiaTheme="minorEastAsia"/>
          <w:color w:themeColor="text1" w:val="000000"/>
          <w:kern w:val="0"/>
          <w:sz w:val="24"/>
          <w:szCs w:val="24"/>
        </w:rPr>
      </w:pPr>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6</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firstColumn="0" w:firstRow="0" w:lastColumn="0" w:lastRow="0" w:noHBand="0" w:noVBand="0" w:val="0000"/>
      </w:tblPr>
      <w:tblGrid>
        <w:gridCol w:w="4734"/>
        <w:gridCol w:w="4134"/>
      </w:tblGrid>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79,899,354.91</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79,899,354.91</w:t>
            </w:r>
          </w:p>
        </w:tc>
      </w:tr>
    </w:tbl>
    <w:p>
      <w:pPr>
        <w:autoSpaceDE w:val="0"/>
        <w:autoSpaceDN w:val="0"/>
        <w:adjustRightInd w:val="0"/>
        <w:spacing w:before="29" w:line="288" w:lineRule="auto"/>
        <w:jc w:val="left"/>
        <w:rPr>
          <w:color w:val="000000"/>
          <w:sz w:val="24"/>
          <w:szCs w:val="24"/>
        </w:rPr>
      </w:pPr>
      <w:r>
        <w:rPr>
          <w:color w:val="000000"/>
          <w:sz w:val="24"/>
          <w:szCs w:val="24"/>
        </w:rPr>
        <w:t>注：1、如果本报告期间发生转换入、红利再投业务，则总申购份额中包含该业务；</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2、如果本报告期间发生转换出业务，则总赎回份额中包含该业务。</w:t>
      </w:r>
    </w:p>
    <w:p w:rsidP="00C15CAC" w:rsidR="00320E90" w:rsidRDefault="00320E90">
      <w:pPr>
        <w:autoSpaceDE w:val="0"/>
        <w:autoSpaceDN w:val="0"/>
        <w:adjustRightInd w:val="0"/>
        <w:spacing w:before="29" w:line="288" w:lineRule="auto"/>
        <w:jc w:val="left"/>
        <w:rPr>
          <w:color w:val="000000"/>
          <w:sz w:val="24"/>
          <w:szCs w:val="24"/>
        </w:rPr>
      </w:pPr>
    </w:p>
    <w:p w:rsidP="0011537B" w:rsidR="00ED2620" w:rsidRDefault="00ED2620" w:rsidRPr="00ED2620">
      <w:pPr>
        <w:pStyle w:val="1"/>
        <w:tabs>
          <w:tab w:pos="4156" w:val="center"/>
          <w:tab w:pos="8312" w:val="right"/>
        </w:tabs>
        <w:spacing w:after="312" w:afterLines="100" w:before="312" w:before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7  </w:t>
      </w:r>
      <w:r w:rsidRPr="00ED2620">
        <w:rPr>
          <w:sz w:val="24"/>
          <w:szCs w:val="24"/>
        </w:rPr>
        <w:t>基金管理人运用固有资金投资本基金情况</w:t>
      </w:r>
    </w:p>
    <w:p w:rsidP="00C15CAC" w:rsidR="00ED2620" w:rsidRDefault="00ED2620" w:rsidRPr="00ED2620">
      <w:pPr>
        <w:spacing w:line="288" w:lineRule="auto"/>
        <w:jc w:val="left"/>
        <w:rPr>
          <w:sz w:val="24"/>
          <w:szCs w:val="24"/>
        </w:rPr>
      </w:pPr>
      <w:r w:rsidRPr="00ED2620">
        <w:rPr>
          <w:b/>
          <w:sz w:val="24"/>
        </w:rPr>
        <w:t xml:space="preserve">7.1 </w:t>
      </w:r>
      <w:r w:rsidRPr="00ED2620">
        <w:rPr>
          <w:b/>
          <w:sz w:val="24"/>
        </w:rPr>
        <w:t>基金管理人持有本基金份额变动情况</w:t>
      </w:r>
    </w:p>
    <w:p w:rsidP="00C15CAC" w:rsidR="00410630" w:rsidRDefault="00ED2620">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P="00C15CAC" w:rsidR="00410630" w:rsidRDefault="00410630">
      <w:pPr>
        <w:autoSpaceDE w:val="0"/>
        <w:autoSpaceDN w:val="0"/>
        <w:adjustRightInd w:val="0"/>
        <w:spacing w:before="29" w:line="288" w:lineRule="auto"/>
        <w:jc w:val="left"/>
        <w:rPr>
          <w:rFonts w:eastAsiaTheme="minorEastAsia"/>
          <w:color w:val="000000"/>
          <w:sz w:val="24"/>
        </w:rPr>
      </w:pPr>
    </w:p>
    <w:p w:rsidP="00BB5E0E" w:rsidR="00410630" w:rsidRDefault="00410630" w:rsidRPr="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P="00C15CAC" w:rsidR="00480B35" w:rsidRDefault="00480B35" w:rsidRPr="00414345">
      <w:pPr>
        <w:autoSpaceDE w:val="0"/>
        <w:autoSpaceDN w:val="0"/>
        <w:adjustRightInd w:val="0"/>
        <w:spacing w:before="29" w:line="288" w:lineRule="auto"/>
        <w:jc w:val="left"/>
        <w:rPr>
          <w:color w:val="000000"/>
          <w:sz w:val="24"/>
        </w:rPr>
      </w:pPr>
    </w:p>
    <w:p w:rsidP="0011537B" w:rsidR="00B22DEE" w:rsidRDefault="004061AC" w:rsidRPr="00E02660">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8</w:t>
      </w:r>
      <w:r w:rsidR="00834E74">
        <w:rPr>
          <w:color w:val="000000"/>
          <w:kern w:val="0"/>
          <w:sz w:val="24"/>
          <w:szCs w:val="24"/>
        </w:rPr>
        <w:t xml:space="preserve">  </w:t>
      </w:r>
      <w:r w:rsidRPr="00414345">
        <w:rPr>
          <w:color w:val="000000"/>
          <w:kern w:val="0"/>
          <w:sz w:val="24"/>
          <w:szCs w:val="24"/>
        </w:rPr>
        <w:t>备查文件目录</w:t>
      </w: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 xml:space="preserve">1、中国证监会准予交银施罗德致远量化智投策略定期开放混合型证券投资基金募集注册的文件； </w:t>
      </w:r>
    </w:p>
    <w:p>
      <w:pPr>
        <w:spacing w:before="29" w:line="288" w:lineRule="auto"/>
        <w:ind w:firstLine="480" w:firstLineChars="200"/>
        <w:rPr>
          <w:color w:val="000000"/>
          <w:sz w:val="24"/>
          <w:szCs w:val="24"/>
        </w:rPr>
      </w:pPr>
      <w:r>
        <w:rPr>
          <w:color w:val="000000"/>
          <w:sz w:val="24"/>
          <w:szCs w:val="24"/>
        </w:rPr>
        <w:t xml:space="preserve">2、《交银施罗德致远量化智投策略定期开放混合型证券投资基金基金合同》； </w:t>
      </w:r>
    </w:p>
    <w:p>
      <w:pPr>
        <w:spacing w:before="29" w:line="288" w:lineRule="auto"/>
        <w:ind w:firstLine="480" w:firstLineChars="200"/>
        <w:rPr>
          <w:color w:val="000000"/>
          <w:sz w:val="24"/>
          <w:szCs w:val="24"/>
        </w:rPr>
      </w:pPr>
      <w:r>
        <w:rPr>
          <w:color w:val="000000"/>
          <w:sz w:val="24"/>
          <w:szCs w:val="24"/>
        </w:rPr>
        <w:t xml:space="preserve">3、《交银施罗德致远量化智投策略定期开放混合型证券投资基金招募说明书》； </w:t>
      </w:r>
    </w:p>
    <w:p>
      <w:pPr>
        <w:spacing w:before="29" w:line="288" w:lineRule="auto"/>
        <w:ind w:firstLine="480" w:firstLineChars="200"/>
        <w:rPr>
          <w:color w:val="000000"/>
          <w:sz w:val="24"/>
          <w:szCs w:val="24"/>
        </w:rPr>
      </w:pPr>
      <w:r>
        <w:rPr>
          <w:color w:val="000000"/>
          <w:sz w:val="24"/>
          <w:szCs w:val="24"/>
        </w:rPr>
        <w:t xml:space="preserve">4、《交银施罗德致远量化智投策略定期开放混合型证券投资基金托管协议》； </w:t>
      </w:r>
    </w:p>
    <w:p>
      <w:pPr>
        <w:spacing w:before="29" w:line="288" w:lineRule="auto"/>
        <w:ind w:firstLine="480" w:firstLineChars="200"/>
        <w:rPr>
          <w:color w:val="000000"/>
          <w:sz w:val="24"/>
          <w:szCs w:val="24"/>
        </w:rPr>
      </w:pPr>
      <w:r>
        <w:rPr>
          <w:color w:val="000000"/>
          <w:sz w:val="24"/>
          <w:szCs w:val="24"/>
        </w:rPr>
        <w:t xml:space="preserve">5、关于申请募集注册交银施罗德致远量化智投策略定期开放混合型证券投资基金的法律意见书； </w:t>
      </w:r>
    </w:p>
    <w:p>
      <w:pPr>
        <w:spacing w:before="29" w:line="288" w:lineRule="auto"/>
        <w:ind w:firstLine="480" w:firstLineChars="200"/>
        <w:rPr>
          <w:color w:val="000000"/>
          <w:sz w:val="24"/>
          <w:szCs w:val="24"/>
        </w:rPr>
      </w:pPr>
      <w:r>
        <w:rPr>
          <w:color w:val="000000"/>
          <w:sz w:val="24"/>
          <w:szCs w:val="24"/>
        </w:rPr>
        <w:t xml:space="preserve">6、基金管理人业务资格批件、营业执照； </w:t>
      </w:r>
    </w:p>
    <w:p>
      <w:pPr>
        <w:spacing w:before="29" w:line="288" w:lineRule="auto"/>
        <w:ind w:firstLine="480" w:firstLineChars="200"/>
        <w:rPr>
          <w:color w:val="000000"/>
          <w:sz w:val="24"/>
          <w:szCs w:val="24"/>
        </w:rPr>
      </w:pPr>
      <w:r>
        <w:rPr>
          <w:color w:val="000000"/>
          <w:sz w:val="24"/>
          <w:szCs w:val="24"/>
        </w:rPr>
        <w:t xml:space="preserve">7、基金托管人业务资格批件、营业执照； </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8、报告期内交银施罗德致远量化智投策略定期开放混合型证券投资基金在指定报刊上各项公告的原稿。</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备查文件存放于基金管理人的办公场所。</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A00" w:rsidRDefault="00B83A00" w:rsidP="00876D65">
      <w:r>
        <w:separator/>
      </w:r>
    </w:p>
  </w:endnote>
  <w:endnote w:type="continuationSeparator" w:id="0">
    <w:p w:rsidR="00B83A00" w:rsidRDefault="00B83A00"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6B0D08">
      <w:rPr>
        <w:noProof/>
        <w:kern w:val="0"/>
        <w:szCs w:val="21"/>
      </w:rPr>
      <w:t>18</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6B0D08">
      <w:rPr>
        <w:noProof/>
        <w:kern w:val="0"/>
        <w:szCs w:val="21"/>
      </w:rPr>
      <w:t>24</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876D65" w:rsidR="00B83A00" w:rsidRDefault="00B83A00">
      <w:r>
        <w:separator/>
      </w:r>
    </w:p>
  </w:footnote>
  <w:footnote w:id="0" w:type="continuationSeparator">
    <w:p w:rsidP="00876D65" w:rsidR="00B83A00" w:rsidRDefault="00B83A00">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090A26" w:rsidR="00171EF0" w:rsidRDefault="00DC456F" w:rsidRPr="00DC456F">
    <w:pPr>
      <w:pStyle w:val="a9"/>
      <w:pBdr>
        <w:bottom w:color="auto" w:space="0" w:sz="6" w:val="single"/>
      </w:pBdr>
      <w:jc w:val="right"/>
      <w:rPr>
        <w:sz w:val="24"/>
        <w:szCs w:val="24"/>
      </w:rPr>
    </w:pPr>
    <w:r w:rsidRPr="003E676C">
      <w:rPr>
        <w:sz w:val="24"/>
        <w:szCs w:val="24"/>
      </w:rPr>
      <w:t>交银施罗德致远量化智投策略定期开放混合型证券投资基金2019年第3季度报告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lsdException w:name="heading 2" w:qFormat="1" w:semiHidden="1" w:unhideWhenUsed="1"/>
    <w:lsdException w:name="heading 3" w:qFormat="1" w:semiHidden="1"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34F0-22B9-46A2-A0CE-73A273E3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1824</TotalTime>
  <Pages>24</Pages>
  <Words>3807</Words>
  <Characters>21700</Characters>
  <Application>Microsoft Office Word</Application>
  <DocSecurity>0</DocSecurity>
  <Lines>180</Lines>
  <Paragraphs>50</Paragraphs>
  <ScaleCrop>false</ScaleCrop>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业务系统</cp:lastModifiedBy>
  <dcterms:modified xsi:type="dcterms:W3CDTF">2019-08-22T08:30:00Z</dcterms:modified>
  <cp:revision>597</cp:revision>
</cp:coreProperties>
</file>