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376,100,058.70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238,432,679.79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137,667,378.91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12,079,120.76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7,028,126.56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9,512,318.34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5,588,730.76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302,186,180.15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175,127,657.89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1.272</w:t>
            </w:r>
          </w:p>
        </w:tc>
      </w:tr>
    </w:tbl>
    <w:p w:rsidR="00FB3DED" w:rsidRDefault="00F8140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3DED">
        <w:trPr>
          <w:jc w:val="center"/>
        </w:trPr>
        <w:tc>
          <w:tcPr>
            <w:tcW w:w="1266" w:type="dxa"/>
            <w:vAlign w:val="center"/>
          </w:tcPr>
          <w:p w:rsidR="00FB3DED" w:rsidRDefault="00F81408">
            <w:pPr>
              <w:jc w:val="left"/>
            </w:pPr>
            <w:r>
              <w:rPr>
                <w:color w:val="000000"/>
                <w:sz w:val="24"/>
              </w:rPr>
              <w:t>过去三个月</w:t>
            </w:r>
          </w:p>
        </w:tc>
        <w:tc>
          <w:tcPr>
            <w:tcW w:w="1267" w:type="dxa"/>
            <w:vAlign w:val="center"/>
          </w:tcPr>
          <w:p w:rsidR="00FB3DED" w:rsidRDefault="00F81408">
            <w:pPr>
              <w:jc w:val="center"/>
            </w:pPr>
            <w:r>
              <w:rPr>
                <w:color w:val="000000"/>
                <w:sz w:val="24"/>
              </w:rPr>
              <w:t>3.38%</w:t>
            </w:r>
          </w:p>
        </w:tc>
        <w:tc>
          <w:tcPr>
            <w:tcW w:w="1267" w:type="dxa"/>
            <w:vAlign w:val="center"/>
          </w:tcPr>
          <w:p w:rsidR="00FB3DED" w:rsidRDefault="00F81408">
            <w:pPr>
              <w:jc w:val="center"/>
            </w:pPr>
            <w:r>
              <w:rPr>
                <w:color w:val="000000"/>
                <w:sz w:val="24"/>
              </w:rPr>
              <w:t>0.29%</w:t>
            </w:r>
          </w:p>
        </w:tc>
        <w:tc>
          <w:tcPr>
            <w:tcW w:w="1267" w:type="dxa"/>
            <w:vAlign w:val="center"/>
          </w:tcPr>
          <w:p w:rsidR="00FB3DED" w:rsidRDefault="00F81408">
            <w:pPr>
              <w:jc w:val="center"/>
            </w:pPr>
            <w:r>
              <w:rPr>
                <w:color w:val="000000"/>
                <w:sz w:val="24"/>
              </w:rPr>
              <w:t>0.16%</w:t>
            </w:r>
          </w:p>
        </w:tc>
        <w:tc>
          <w:tcPr>
            <w:tcW w:w="1267" w:type="dxa"/>
            <w:vAlign w:val="center"/>
          </w:tcPr>
          <w:p w:rsidR="00FB3DED" w:rsidRDefault="00F81408">
            <w:pPr>
              <w:jc w:val="center"/>
            </w:pPr>
            <w:r>
              <w:rPr>
                <w:color w:val="000000"/>
                <w:sz w:val="24"/>
              </w:rPr>
              <w:t>0.48%</w:t>
            </w:r>
          </w:p>
        </w:tc>
        <w:tc>
          <w:tcPr>
            <w:tcW w:w="1267" w:type="dxa"/>
            <w:vAlign w:val="center"/>
          </w:tcPr>
          <w:p w:rsidR="00FB3DED" w:rsidRDefault="00F81408">
            <w:pPr>
              <w:jc w:val="center"/>
            </w:pPr>
            <w:r>
              <w:rPr>
                <w:color w:val="000000"/>
                <w:sz w:val="24"/>
              </w:rPr>
              <w:t>3.22%</w:t>
            </w:r>
          </w:p>
        </w:tc>
        <w:tc>
          <w:tcPr>
            <w:tcW w:w="1267" w:type="dxa"/>
            <w:vAlign w:val="center"/>
          </w:tcPr>
          <w:p w:rsidR="00FB3DED" w:rsidRDefault="00F81408">
            <w:pPr>
              <w:jc w:val="center"/>
            </w:pPr>
            <w:r>
              <w:rPr>
                <w:color w:val="000000"/>
                <w:sz w:val="24"/>
              </w:rPr>
              <w:t>-0.19%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3DED">
        <w:trPr>
          <w:jc w:val="center"/>
        </w:trPr>
        <w:tc>
          <w:tcPr>
            <w:tcW w:w="1266" w:type="dxa"/>
            <w:vAlign w:val="center"/>
          </w:tcPr>
          <w:p w:rsidR="00FB3DED" w:rsidRDefault="00F81408">
            <w:pPr>
              <w:jc w:val="left"/>
            </w:pPr>
            <w:r>
              <w:rPr>
                <w:color w:val="000000"/>
                <w:sz w:val="24"/>
              </w:rPr>
              <w:t>过去三个月</w:t>
            </w:r>
          </w:p>
        </w:tc>
        <w:tc>
          <w:tcPr>
            <w:tcW w:w="1267" w:type="dxa"/>
            <w:vAlign w:val="center"/>
          </w:tcPr>
          <w:p w:rsidR="00FB3DED" w:rsidRDefault="00F81408">
            <w:pPr>
              <w:jc w:val="center"/>
            </w:pPr>
            <w:r>
              <w:rPr>
                <w:color w:val="000000"/>
                <w:sz w:val="24"/>
              </w:rPr>
              <w:t>3.37%</w:t>
            </w:r>
          </w:p>
        </w:tc>
        <w:tc>
          <w:tcPr>
            <w:tcW w:w="1267" w:type="dxa"/>
            <w:vAlign w:val="center"/>
          </w:tcPr>
          <w:p w:rsidR="00FB3DED" w:rsidRDefault="00F81408">
            <w:pPr>
              <w:jc w:val="center"/>
            </w:pPr>
            <w:r>
              <w:rPr>
                <w:color w:val="000000"/>
                <w:sz w:val="24"/>
              </w:rPr>
              <w:t>0.28%</w:t>
            </w:r>
          </w:p>
        </w:tc>
        <w:tc>
          <w:tcPr>
            <w:tcW w:w="1267" w:type="dxa"/>
            <w:vAlign w:val="center"/>
          </w:tcPr>
          <w:p w:rsidR="00FB3DED" w:rsidRDefault="00F81408">
            <w:pPr>
              <w:jc w:val="center"/>
            </w:pPr>
            <w:r>
              <w:rPr>
                <w:color w:val="000000"/>
                <w:sz w:val="24"/>
              </w:rPr>
              <w:t>0.16%</w:t>
            </w:r>
          </w:p>
        </w:tc>
        <w:tc>
          <w:tcPr>
            <w:tcW w:w="1267" w:type="dxa"/>
            <w:vAlign w:val="center"/>
          </w:tcPr>
          <w:p w:rsidR="00FB3DED" w:rsidRDefault="00F81408">
            <w:pPr>
              <w:jc w:val="center"/>
            </w:pPr>
            <w:r>
              <w:rPr>
                <w:color w:val="000000"/>
                <w:sz w:val="24"/>
              </w:rPr>
              <w:t>0.48%</w:t>
            </w:r>
          </w:p>
        </w:tc>
        <w:tc>
          <w:tcPr>
            <w:tcW w:w="1267" w:type="dxa"/>
            <w:vAlign w:val="center"/>
          </w:tcPr>
          <w:p w:rsidR="00FB3DED" w:rsidRDefault="00F81408">
            <w:pPr>
              <w:jc w:val="center"/>
            </w:pPr>
            <w:r>
              <w:rPr>
                <w:color w:val="000000"/>
                <w:sz w:val="24"/>
              </w:rPr>
              <w:t>3.21%</w:t>
            </w:r>
          </w:p>
        </w:tc>
        <w:tc>
          <w:tcPr>
            <w:tcW w:w="1267" w:type="dxa"/>
            <w:vAlign w:val="center"/>
          </w:tcPr>
          <w:p w:rsidR="00FB3DED" w:rsidRDefault="00F81408">
            <w:pPr>
              <w:jc w:val="center"/>
            </w:pPr>
            <w:r>
              <w:rPr>
                <w:color w:val="000000"/>
                <w:sz w:val="24"/>
              </w:rPr>
              <w:t>-0.20%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B3DED">
        <w:trPr>
          <w:jc w:val="center"/>
        </w:trPr>
        <w:tc>
          <w:tcPr>
            <w:tcW w:w="946" w:type="dxa"/>
            <w:vAlign w:val="center"/>
          </w:tcPr>
          <w:p w:rsidR="00FB3DED" w:rsidRDefault="00F81408">
            <w:pPr>
              <w:jc w:val="center"/>
            </w:pPr>
            <w:r>
              <w:rPr>
                <w:color w:val="000000"/>
                <w:sz w:val="24"/>
              </w:rPr>
              <w:t>李娜</w:t>
            </w:r>
          </w:p>
        </w:tc>
        <w:tc>
          <w:tcPr>
            <w:tcW w:w="924" w:type="dxa"/>
            <w:vAlign w:val="center"/>
          </w:tcPr>
          <w:p w:rsidR="00FB3DED" w:rsidRDefault="00F81408">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FB3DED" w:rsidRDefault="00F81408">
            <w:pPr>
              <w:jc w:val="center"/>
            </w:pPr>
            <w:r>
              <w:rPr>
                <w:color w:val="000000"/>
                <w:sz w:val="24"/>
              </w:rPr>
              <w:t>2015-08-04</w:t>
            </w:r>
          </w:p>
        </w:tc>
        <w:tc>
          <w:tcPr>
            <w:tcW w:w="1300" w:type="dxa"/>
            <w:vAlign w:val="center"/>
          </w:tcPr>
          <w:p w:rsidR="00FB3DED" w:rsidRDefault="00F81408">
            <w:pPr>
              <w:jc w:val="center"/>
            </w:pPr>
            <w:r>
              <w:rPr>
                <w:color w:val="000000"/>
                <w:sz w:val="24"/>
              </w:rPr>
              <w:t>-</w:t>
            </w:r>
          </w:p>
        </w:tc>
        <w:tc>
          <w:tcPr>
            <w:tcW w:w="1245" w:type="dxa"/>
            <w:vAlign w:val="center"/>
          </w:tcPr>
          <w:p w:rsidR="00FB3DED" w:rsidRDefault="00F81408">
            <w:pPr>
              <w:jc w:val="center"/>
            </w:pPr>
            <w:r>
              <w:rPr>
                <w:color w:val="000000"/>
                <w:sz w:val="24"/>
              </w:rPr>
              <w:t>9</w:t>
            </w:r>
            <w:r>
              <w:rPr>
                <w:color w:val="000000"/>
                <w:sz w:val="24"/>
              </w:rPr>
              <w:t>年</w:t>
            </w:r>
          </w:p>
        </w:tc>
        <w:tc>
          <w:tcPr>
            <w:tcW w:w="3251" w:type="dxa"/>
            <w:vAlign w:val="center"/>
          </w:tcPr>
          <w:p w:rsidR="00FB3DED" w:rsidRDefault="00F8140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FB3DED">
        <w:trPr>
          <w:jc w:val="center"/>
        </w:trPr>
        <w:tc>
          <w:tcPr>
            <w:tcW w:w="946" w:type="dxa"/>
            <w:vAlign w:val="center"/>
          </w:tcPr>
          <w:p w:rsidR="00FB3DED" w:rsidRDefault="00F81408">
            <w:pPr>
              <w:jc w:val="center"/>
            </w:pPr>
            <w:r>
              <w:rPr>
                <w:color w:val="000000"/>
                <w:sz w:val="24"/>
              </w:rPr>
              <w:t>凌超</w:t>
            </w:r>
          </w:p>
        </w:tc>
        <w:tc>
          <w:tcPr>
            <w:tcW w:w="924" w:type="dxa"/>
            <w:vAlign w:val="center"/>
          </w:tcPr>
          <w:p w:rsidR="00FB3DED" w:rsidRDefault="00F81408">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FB3DED" w:rsidRDefault="00F81408">
            <w:pPr>
              <w:jc w:val="center"/>
            </w:pPr>
            <w:r>
              <w:rPr>
                <w:color w:val="000000"/>
                <w:sz w:val="24"/>
              </w:rPr>
              <w:t>2019-07-20</w:t>
            </w:r>
          </w:p>
        </w:tc>
        <w:tc>
          <w:tcPr>
            <w:tcW w:w="1300" w:type="dxa"/>
            <w:vAlign w:val="center"/>
          </w:tcPr>
          <w:p w:rsidR="00FB3DED" w:rsidRDefault="00F81408">
            <w:pPr>
              <w:jc w:val="center"/>
            </w:pPr>
            <w:r>
              <w:rPr>
                <w:color w:val="000000"/>
                <w:sz w:val="24"/>
              </w:rPr>
              <w:t>-</w:t>
            </w:r>
          </w:p>
        </w:tc>
        <w:tc>
          <w:tcPr>
            <w:tcW w:w="1245" w:type="dxa"/>
            <w:vAlign w:val="center"/>
          </w:tcPr>
          <w:p w:rsidR="00FB3DED" w:rsidRDefault="00F81408">
            <w:pPr>
              <w:jc w:val="center"/>
            </w:pPr>
            <w:r>
              <w:rPr>
                <w:color w:val="000000"/>
                <w:sz w:val="24"/>
              </w:rPr>
              <w:t>13</w:t>
            </w:r>
            <w:r>
              <w:rPr>
                <w:color w:val="000000"/>
                <w:sz w:val="24"/>
              </w:rPr>
              <w:t>年</w:t>
            </w:r>
          </w:p>
        </w:tc>
        <w:tc>
          <w:tcPr>
            <w:tcW w:w="3251" w:type="dxa"/>
            <w:vAlign w:val="center"/>
          </w:tcPr>
          <w:p w:rsidR="00FB3DED" w:rsidRDefault="00F8140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B3DED" w:rsidRDefault="00F8140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3DED" w:rsidRDefault="00F8140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3DED" w:rsidRDefault="00F8140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B3DED" w:rsidRDefault="00F81408">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FB3DED" w:rsidRDefault="00F81408">
      <w:pPr>
        <w:spacing w:before="29" w:line="288" w:lineRule="auto"/>
        <w:ind w:firstLineChars="200" w:firstLine="480"/>
        <w:rPr>
          <w:color w:val="000000"/>
          <w:sz w:val="24"/>
        </w:rPr>
      </w:pPr>
      <w:r>
        <w:rPr>
          <w:color w:val="000000"/>
          <w:sz w:val="24"/>
        </w:rPr>
        <w:t>权益市场三季度呈现明显分化，大盘指数三季度收跌，但创业板指数季度上涨逾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FB3DED" w:rsidRDefault="00F81408">
      <w:pPr>
        <w:spacing w:before="29" w:line="288" w:lineRule="auto"/>
        <w:ind w:firstLineChars="200" w:firstLine="480"/>
        <w:rPr>
          <w:color w:val="000000"/>
          <w:sz w:val="24"/>
        </w:rPr>
      </w:pPr>
      <w:r>
        <w:rPr>
          <w:color w:val="000000"/>
          <w:sz w:val="24"/>
        </w:rPr>
        <w:t>我们认为，三季度在经济下行压力下，债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在成长股估值偏高后减持部分高弹性品种，置换为高股息及低估值品种，以控制基金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89,637,130.49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89,637,130.49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417,012,169.40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417,012,169.40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6,975,841.14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6,547,374.09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521,672,515.12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15,891,820.70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2,269,617.00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1,847,280.00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2,288,477.00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2,026,129.40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43,089,041.49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20,841,434.90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1,383,330.00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89,637,130.49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18.78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B3DED">
        <w:trPr>
          <w:jc w:val="center"/>
        </w:trPr>
        <w:tc>
          <w:tcPr>
            <w:tcW w:w="850" w:type="dxa"/>
            <w:vAlign w:val="center"/>
          </w:tcPr>
          <w:p w:rsidR="00FB3DED" w:rsidRDefault="00F81408">
            <w:pPr>
              <w:jc w:val="center"/>
            </w:pPr>
            <w:r>
              <w:rPr>
                <w:color w:val="000000"/>
                <w:sz w:val="24"/>
              </w:rPr>
              <w:t>1</w:t>
            </w:r>
          </w:p>
        </w:tc>
        <w:tc>
          <w:tcPr>
            <w:tcW w:w="1327" w:type="dxa"/>
            <w:vAlign w:val="center"/>
          </w:tcPr>
          <w:p w:rsidR="00FB3DED" w:rsidRDefault="00F81408">
            <w:pPr>
              <w:jc w:val="center"/>
            </w:pPr>
            <w:r>
              <w:rPr>
                <w:color w:val="000000"/>
                <w:sz w:val="24"/>
              </w:rPr>
              <w:t>601398</w:t>
            </w:r>
          </w:p>
        </w:tc>
        <w:tc>
          <w:tcPr>
            <w:tcW w:w="1769" w:type="dxa"/>
            <w:vAlign w:val="center"/>
          </w:tcPr>
          <w:p w:rsidR="00FB3DED" w:rsidRDefault="00F81408">
            <w:pPr>
              <w:jc w:val="center"/>
            </w:pPr>
            <w:r>
              <w:rPr>
                <w:color w:val="000000"/>
                <w:sz w:val="24"/>
              </w:rPr>
              <w:t>工商银行</w:t>
            </w:r>
          </w:p>
        </w:tc>
        <w:tc>
          <w:tcPr>
            <w:tcW w:w="1327" w:type="dxa"/>
            <w:vAlign w:val="center"/>
          </w:tcPr>
          <w:p w:rsidR="00FB3DED" w:rsidRDefault="00F81408">
            <w:pPr>
              <w:jc w:val="right"/>
            </w:pPr>
            <w:r>
              <w:rPr>
                <w:color w:val="000000"/>
                <w:sz w:val="24"/>
              </w:rPr>
              <w:t>4,354,333</w:t>
            </w:r>
          </w:p>
        </w:tc>
        <w:tc>
          <w:tcPr>
            <w:tcW w:w="1915" w:type="dxa"/>
            <w:vAlign w:val="center"/>
          </w:tcPr>
          <w:p w:rsidR="00FB3DED" w:rsidRDefault="00F81408">
            <w:pPr>
              <w:jc w:val="right"/>
            </w:pPr>
            <w:r>
              <w:rPr>
                <w:color w:val="000000"/>
                <w:sz w:val="24"/>
              </w:rPr>
              <w:t>24,079,461.49</w:t>
            </w:r>
          </w:p>
        </w:tc>
        <w:tc>
          <w:tcPr>
            <w:tcW w:w="1680" w:type="dxa"/>
            <w:vAlign w:val="center"/>
          </w:tcPr>
          <w:p w:rsidR="00FB3DED" w:rsidRDefault="00F81408">
            <w:pPr>
              <w:jc w:val="right"/>
            </w:pPr>
            <w:r>
              <w:rPr>
                <w:color w:val="000000"/>
                <w:sz w:val="24"/>
              </w:rPr>
              <w:t>5.04</w:t>
            </w:r>
          </w:p>
        </w:tc>
      </w:tr>
      <w:tr w:rsidR="00FB3DED">
        <w:trPr>
          <w:jc w:val="center"/>
        </w:trPr>
        <w:tc>
          <w:tcPr>
            <w:tcW w:w="850" w:type="dxa"/>
            <w:vAlign w:val="center"/>
          </w:tcPr>
          <w:p w:rsidR="00FB3DED" w:rsidRDefault="00F81408">
            <w:pPr>
              <w:jc w:val="center"/>
            </w:pPr>
            <w:r>
              <w:rPr>
                <w:color w:val="000000"/>
                <w:sz w:val="24"/>
              </w:rPr>
              <w:t>2</w:t>
            </w:r>
          </w:p>
        </w:tc>
        <w:tc>
          <w:tcPr>
            <w:tcW w:w="1327" w:type="dxa"/>
            <w:vAlign w:val="center"/>
          </w:tcPr>
          <w:p w:rsidR="00FB3DED" w:rsidRDefault="00F81408">
            <w:pPr>
              <w:jc w:val="center"/>
            </w:pPr>
            <w:r>
              <w:rPr>
                <w:color w:val="000000"/>
                <w:sz w:val="24"/>
              </w:rPr>
              <w:t>600048</w:t>
            </w:r>
          </w:p>
        </w:tc>
        <w:tc>
          <w:tcPr>
            <w:tcW w:w="1769" w:type="dxa"/>
            <w:vAlign w:val="center"/>
          </w:tcPr>
          <w:p w:rsidR="00FB3DED" w:rsidRDefault="00F81408">
            <w:pPr>
              <w:jc w:val="center"/>
            </w:pPr>
            <w:r>
              <w:rPr>
                <w:color w:val="000000"/>
                <w:sz w:val="24"/>
              </w:rPr>
              <w:t>保利地产</w:t>
            </w:r>
          </w:p>
        </w:tc>
        <w:tc>
          <w:tcPr>
            <w:tcW w:w="1327" w:type="dxa"/>
            <w:vAlign w:val="center"/>
          </w:tcPr>
          <w:p w:rsidR="00FB3DED" w:rsidRDefault="00F81408">
            <w:pPr>
              <w:jc w:val="right"/>
            </w:pPr>
            <w:r>
              <w:rPr>
                <w:color w:val="000000"/>
                <w:sz w:val="24"/>
              </w:rPr>
              <w:t>1,457,443</w:t>
            </w:r>
          </w:p>
        </w:tc>
        <w:tc>
          <w:tcPr>
            <w:tcW w:w="1915" w:type="dxa"/>
            <w:vAlign w:val="center"/>
          </w:tcPr>
          <w:p w:rsidR="00FB3DED" w:rsidRDefault="00F81408">
            <w:pPr>
              <w:jc w:val="right"/>
            </w:pPr>
            <w:r>
              <w:rPr>
                <w:color w:val="000000"/>
                <w:sz w:val="24"/>
              </w:rPr>
              <w:t>20,841,434.90</w:t>
            </w:r>
          </w:p>
        </w:tc>
        <w:tc>
          <w:tcPr>
            <w:tcW w:w="1680" w:type="dxa"/>
            <w:vAlign w:val="center"/>
          </w:tcPr>
          <w:p w:rsidR="00FB3DED" w:rsidRDefault="00F81408">
            <w:pPr>
              <w:jc w:val="right"/>
            </w:pPr>
            <w:r>
              <w:rPr>
                <w:color w:val="000000"/>
                <w:sz w:val="24"/>
              </w:rPr>
              <w:t>4.37</w:t>
            </w:r>
          </w:p>
        </w:tc>
      </w:tr>
      <w:tr w:rsidR="00FB3DED">
        <w:trPr>
          <w:jc w:val="center"/>
        </w:trPr>
        <w:tc>
          <w:tcPr>
            <w:tcW w:w="850" w:type="dxa"/>
            <w:vAlign w:val="center"/>
          </w:tcPr>
          <w:p w:rsidR="00FB3DED" w:rsidRDefault="00F81408">
            <w:pPr>
              <w:jc w:val="center"/>
            </w:pPr>
            <w:r>
              <w:rPr>
                <w:color w:val="000000"/>
                <w:sz w:val="24"/>
              </w:rPr>
              <w:t>3</w:t>
            </w:r>
          </w:p>
        </w:tc>
        <w:tc>
          <w:tcPr>
            <w:tcW w:w="1327" w:type="dxa"/>
            <w:vAlign w:val="center"/>
          </w:tcPr>
          <w:p w:rsidR="00FB3DED" w:rsidRDefault="00F81408">
            <w:pPr>
              <w:jc w:val="center"/>
            </w:pPr>
            <w:r>
              <w:rPr>
                <w:color w:val="000000"/>
                <w:sz w:val="24"/>
              </w:rPr>
              <w:t>601336</w:t>
            </w:r>
          </w:p>
        </w:tc>
        <w:tc>
          <w:tcPr>
            <w:tcW w:w="1769" w:type="dxa"/>
            <w:vAlign w:val="center"/>
          </w:tcPr>
          <w:p w:rsidR="00FB3DED" w:rsidRDefault="00F81408">
            <w:pPr>
              <w:jc w:val="center"/>
            </w:pPr>
            <w:r>
              <w:rPr>
                <w:color w:val="000000"/>
                <w:sz w:val="24"/>
              </w:rPr>
              <w:t>新华保险</w:t>
            </w:r>
          </w:p>
        </w:tc>
        <w:tc>
          <w:tcPr>
            <w:tcW w:w="1327" w:type="dxa"/>
            <w:vAlign w:val="center"/>
          </w:tcPr>
          <w:p w:rsidR="00FB3DED" w:rsidRDefault="00F81408">
            <w:pPr>
              <w:jc w:val="right"/>
            </w:pPr>
            <w:r>
              <w:rPr>
                <w:color w:val="000000"/>
                <w:sz w:val="24"/>
              </w:rPr>
              <w:t>258,800</w:t>
            </w:r>
          </w:p>
        </w:tc>
        <w:tc>
          <w:tcPr>
            <w:tcW w:w="1915" w:type="dxa"/>
            <w:vAlign w:val="center"/>
          </w:tcPr>
          <w:p w:rsidR="00FB3DED" w:rsidRDefault="00F81408">
            <w:pPr>
              <w:jc w:val="right"/>
            </w:pPr>
            <w:r>
              <w:rPr>
                <w:color w:val="000000"/>
                <w:sz w:val="24"/>
              </w:rPr>
              <w:t>12,595,796.00</w:t>
            </w:r>
          </w:p>
        </w:tc>
        <w:tc>
          <w:tcPr>
            <w:tcW w:w="1680" w:type="dxa"/>
            <w:vAlign w:val="center"/>
          </w:tcPr>
          <w:p w:rsidR="00FB3DED" w:rsidRDefault="00F81408">
            <w:pPr>
              <w:jc w:val="right"/>
            </w:pPr>
            <w:r>
              <w:rPr>
                <w:color w:val="000000"/>
                <w:sz w:val="24"/>
              </w:rPr>
              <w:t>2.64</w:t>
            </w:r>
          </w:p>
        </w:tc>
      </w:tr>
      <w:tr w:rsidR="00FB3DED">
        <w:trPr>
          <w:jc w:val="center"/>
        </w:trPr>
        <w:tc>
          <w:tcPr>
            <w:tcW w:w="850" w:type="dxa"/>
            <w:vAlign w:val="center"/>
          </w:tcPr>
          <w:p w:rsidR="00FB3DED" w:rsidRDefault="00F81408">
            <w:pPr>
              <w:jc w:val="center"/>
            </w:pPr>
            <w:r>
              <w:rPr>
                <w:color w:val="000000"/>
                <w:sz w:val="24"/>
              </w:rPr>
              <w:t>4</w:t>
            </w:r>
          </w:p>
        </w:tc>
        <w:tc>
          <w:tcPr>
            <w:tcW w:w="1327" w:type="dxa"/>
            <w:vAlign w:val="center"/>
          </w:tcPr>
          <w:p w:rsidR="00FB3DED" w:rsidRDefault="00F81408">
            <w:pPr>
              <w:jc w:val="center"/>
            </w:pPr>
            <w:r>
              <w:rPr>
                <w:color w:val="000000"/>
                <w:sz w:val="24"/>
              </w:rPr>
              <w:t>002271</w:t>
            </w:r>
          </w:p>
        </w:tc>
        <w:tc>
          <w:tcPr>
            <w:tcW w:w="1769" w:type="dxa"/>
            <w:vAlign w:val="center"/>
          </w:tcPr>
          <w:p w:rsidR="00FB3DED" w:rsidRDefault="00F81408">
            <w:pPr>
              <w:jc w:val="center"/>
            </w:pPr>
            <w:r>
              <w:rPr>
                <w:color w:val="000000"/>
                <w:sz w:val="24"/>
              </w:rPr>
              <w:t>东方雨虹</w:t>
            </w:r>
          </w:p>
        </w:tc>
        <w:tc>
          <w:tcPr>
            <w:tcW w:w="1327" w:type="dxa"/>
            <w:vAlign w:val="center"/>
          </w:tcPr>
          <w:p w:rsidR="00FB3DED" w:rsidRDefault="00F81408">
            <w:pPr>
              <w:jc w:val="right"/>
            </w:pPr>
            <w:r>
              <w:rPr>
                <w:color w:val="000000"/>
                <w:sz w:val="24"/>
              </w:rPr>
              <w:t>200,000</w:t>
            </w:r>
          </w:p>
        </w:tc>
        <w:tc>
          <w:tcPr>
            <w:tcW w:w="1915" w:type="dxa"/>
            <w:vAlign w:val="center"/>
          </w:tcPr>
          <w:p w:rsidR="00FB3DED" w:rsidRDefault="00F81408">
            <w:pPr>
              <w:jc w:val="right"/>
            </w:pPr>
            <w:r>
              <w:rPr>
                <w:color w:val="000000"/>
                <w:sz w:val="24"/>
              </w:rPr>
              <w:t>4,204,000.00</w:t>
            </w:r>
          </w:p>
        </w:tc>
        <w:tc>
          <w:tcPr>
            <w:tcW w:w="1680" w:type="dxa"/>
            <w:vAlign w:val="center"/>
          </w:tcPr>
          <w:p w:rsidR="00FB3DED" w:rsidRDefault="00F81408">
            <w:pPr>
              <w:jc w:val="right"/>
            </w:pPr>
            <w:r>
              <w:rPr>
                <w:color w:val="000000"/>
                <w:sz w:val="24"/>
              </w:rPr>
              <w:t>0.88</w:t>
            </w:r>
          </w:p>
        </w:tc>
      </w:tr>
      <w:tr w:rsidR="00FB3DED">
        <w:trPr>
          <w:jc w:val="center"/>
        </w:trPr>
        <w:tc>
          <w:tcPr>
            <w:tcW w:w="850" w:type="dxa"/>
            <w:vAlign w:val="center"/>
          </w:tcPr>
          <w:p w:rsidR="00FB3DED" w:rsidRDefault="00F81408">
            <w:pPr>
              <w:jc w:val="center"/>
            </w:pPr>
            <w:r>
              <w:rPr>
                <w:color w:val="000000"/>
                <w:sz w:val="24"/>
              </w:rPr>
              <w:t>5</w:t>
            </w:r>
          </w:p>
        </w:tc>
        <w:tc>
          <w:tcPr>
            <w:tcW w:w="1327" w:type="dxa"/>
            <w:vAlign w:val="center"/>
          </w:tcPr>
          <w:p w:rsidR="00FB3DED" w:rsidRDefault="00F81408">
            <w:pPr>
              <w:jc w:val="center"/>
            </w:pPr>
            <w:r>
              <w:rPr>
                <w:color w:val="000000"/>
                <w:sz w:val="24"/>
              </w:rPr>
              <w:t>601628</w:t>
            </w:r>
          </w:p>
        </w:tc>
        <w:tc>
          <w:tcPr>
            <w:tcW w:w="1769" w:type="dxa"/>
            <w:vAlign w:val="center"/>
          </w:tcPr>
          <w:p w:rsidR="00FB3DED" w:rsidRDefault="00F81408">
            <w:pPr>
              <w:jc w:val="center"/>
            </w:pPr>
            <w:r>
              <w:rPr>
                <w:color w:val="000000"/>
                <w:sz w:val="24"/>
              </w:rPr>
              <w:t>中国人寿</w:t>
            </w:r>
          </w:p>
        </w:tc>
        <w:tc>
          <w:tcPr>
            <w:tcW w:w="1327" w:type="dxa"/>
            <w:vAlign w:val="center"/>
          </w:tcPr>
          <w:p w:rsidR="00FB3DED" w:rsidRDefault="00F81408">
            <w:pPr>
              <w:jc w:val="right"/>
            </w:pPr>
            <w:r>
              <w:rPr>
                <w:color w:val="000000"/>
                <w:sz w:val="24"/>
              </w:rPr>
              <w:t>148,300</w:t>
            </w:r>
          </w:p>
        </w:tc>
        <w:tc>
          <w:tcPr>
            <w:tcW w:w="1915" w:type="dxa"/>
            <w:vAlign w:val="center"/>
          </w:tcPr>
          <w:p w:rsidR="00FB3DED" w:rsidRDefault="00F81408">
            <w:pPr>
              <w:jc w:val="right"/>
            </w:pPr>
            <w:r>
              <w:rPr>
                <w:color w:val="000000"/>
                <w:sz w:val="24"/>
              </w:rPr>
              <w:t>4,075,284.00</w:t>
            </w:r>
          </w:p>
        </w:tc>
        <w:tc>
          <w:tcPr>
            <w:tcW w:w="1680" w:type="dxa"/>
            <w:vAlign w:val="center"/>
          </w:tcPr>
          <w:p w:rsidR="00FB3DED" w:rsidRDefault="00F81408">
            <w:pPr>
              <w:jc w:val="right"/>
            </w:pPr>
            <w:r>
              <w:rPr>
                <w:color w:val="000000"/>
                <w:sz w:val="24"/>
              </w:rPr>
              <w:t>0.85</w:t>
            </w:r>
          </w:p>
        </w:tc>
      </w:tr>
      <w:tr w:rsidR="00FB3DED">
        <w:trPr>
          <w:jc w:val="center"/>
        </w:trPr>
        <w:tc>
          <w:tcPr>
            <w:tcW w:w="850" w:type="dxa"/>
            <w:vAlign w:val="center"/>
          </w:tcPr>
          <w:p w:rsidR="00FB3DED" w:rsidRDefault="00F81408">
            <w:pPr>
              <w:jc w:val="center"/>
            </w:pPr>
            <w:r>
              <w:rPr>
                <w:color w:val="000000"/>
                <w:sz w:val="24"/>
              </w:rPr>
              <w:t>6</w:t>
            </w:r>
          </w:p>
        </w:tc>
        <w:tc>
          <w:tcPr>
            <w:tcW w:w="1327" w:type="dxa"/>
            <w:vAlign w:val="center"/>
          </w:tcPr>
          <w:p w:rsidR="00FB3DED" w:rsidRDefault="00F81408">
            <w:pPr>
              <w:jc w:val="center"/>
            </w:pPr>
            <w:r>
              <w:rPr>
                <w:color w:val="000000"/>
                <w:sz w:val="24"/>
              </w:rPr>
              <w:t>000538</w:t>
            </w:r>
          </w:p>
        </w:tc>
        <w:tc>
          <w:tcPr>
            <w:tcW w:w="1769" w:type="dxa"/>
            <w:vAlign w:val="center"/>
          </w:tcPr>
          <w:p w:rsidR="00FB3DED" w:rsidRDefault="00F81408">
            <w:pPr>
              <w:jc w:val="center"/>
            </w:pPr>
            <w:r>
              <w:rPr>
                <w:color w:val="000000"/>
                <w:sz w:val="24"/>
              </w:rPr>
              <w:t>云南白药</w:t>
            </w:r>
          </w:p>
        </w:tc>
        <w:tc>
          <w:tcPr>
            <w:tcW w:w="1327" w:type="dxa"/>
            <w:vAlign w:val="center"/>
          </w:tcPr>
          <w:p w:rsidR="00FB3DED" w:rsidRDefault="00F81408">
            <w:pPr>
              <w:jc w:val="right"/>
            </w:pPr>
            <w:r>
              <w:rPr>
                <w:color w:val="000000"/>
                <w:sz w:val="24"/>
              </w:rPr>
              <w:t>39,912</w:t>
            </w:r>
          </w:p>
        </w:tc>
        <w:tc>
          <w:tcPr>
            <w:tcW w:w="1915" w:type="dxa"/>
            <w:vAlign w:val="center"/>
          </w:tcPr>
          <w:p w:rsidR="00FB3DED" w:rsidRDefault="00F81408">
            <w:pPr>
              <w:jc w:val="right"/>
            </w:pPr>
            <w:r>
              <w:rPr>
                <w:color w:val="000000"/>
                <w:sz w:val="24"/>
              </w:rPr>
              <w:t>3,035,307.60</w:t>
            </w:r>
          </w:p>
        </w:tc>
        <w:tc>
          <w:tcPr>
            <w:tcW w:w="1680" w:type="dxa"/>
            <w:vAlign w:val="center"/>
          </w:tcPr>
          <w:p w:rsidR="00FB3DED" w:rsidRDefault="00F81408">
            <w:pPr>
              <w:jc w:val="right"/>
            </w:pPr>
            <w:r>
              <w:rPr>
                <w:color w:val="000000"/>
                <w:sz w:val="24"/>
              </w:rPr>
              <w:t>0.64</w:t>
            </w:r>
          </w:p>
        </w:tc>
      </w:tr>
      <w:tr w:rsidR="00FB3DED">
        <w:trPr>
          <w:jc w:val="center"/>
        </w:trPr>
        <w:tc>
          <w:tcPr>
            <w:tcW w:w="850" w:type="dxa"/>
            <w:vAlign w:val="center"/>
          </w:tcPr>
          <w:p w:rsidR="00FB3DED" w:rsidRDefault="00F81408">
            <w:pPr>
              <w:jc w:val="center"/>
            </w:pPr>
            <w:r>
              <w:rPr>
                <w:color w:val="000000"/>
                <w:sz w:val="24"/>
              </w:rPr>
              <w:t>7</w:t>
            </w:r>
          </w:p>
        </w:tc>
        <w:tc>
          <w:tcPr>
            <w:tcW w:w="1327" w:type="dxa"/>
            <w:vAlign w:val="center"/>
          </w:tcPr>
          <w:p w:rsidR="00FB3DED" w:rsidRDefault="00F81408">
            <w:pPr>
              <w:jc w:val="center"/>
            </w:pPr>
            <w:r>
              <w:rPr>
                <w:color w:val="000000"/>
                <w:sz w:val="24"/>
              </w:rPr>
              <w:t>600887</w:t>
            </w:r>
          </w:p>
        </w:tc>
        <w:tc>
          <w:tcPr>
            <w:tcW w:w="1769" w:type="dxa"/>
            <w:vAlign w:val="center"/>
          </w:tcPr>
          <w:p w:rsidR="00FB3DED" w:rsidRDefault="00F81408">
            <w:pPr>
              <w:jc w:val="center"/>
            </w:pPr>
            <w:r>
              <w:rPr>
                <w:color w:val="000000"/>
                <w:sz w:val="24"/>
              </w:rPr>
              <w:t>伊利股份</w:t>
            </w:r>
          </w:p>
        </w:tc>
        <w:tc>
          <w:tcPr>
            <w:tcW w:w="1327" w:type="dxa"/>
            <w:vAlign w:val="center"/>
          </w:tcPr>
          <w:p w:rsidR="00FB3DED" w:rsidRDefault="00F81408">
            <w:pPr>
              <w:jc w:val="right"/>
            </w:pPr>
            <w:r>
              <w:rPr>
                <w:color w:val="000000"/>
                <w:sz w:val="24"/>
              </w:rPr>
              <w:t>100,000</w:t>
            </w:r>
          </w:p>
        </w:tc>
        <w:tc>
          <w:tcPr>
            <w:tcW w:w="1915" w:type="dxa"/>
            <w:vAlign w:val="center"/>
          </w:tcPr>
          <w:p w:rsidR="00FB3DED" w:rsidRDefault="00F81408">
            <w:pPr>
              <w:jc w:val="right"/>
            </w:pPr>
            <w:r>
              <w:rPr>
                <w:color w:val="000000"/>
                <w:sz w:val="24"/>
              </w:rPr>
              <w:t>2,852,000.00</w:t>
            </w:r>
          </w:p>
        </w:tc>
        <w:tc>
          <w:tcPr>
            <w:tcW w:w="1680" w:type="dxa"/>
            <w:vAlign w:val="center"/>
          </w:tcPr>
          <w:p w:rsidR="00FB3DED" w:rsidRDefault="00F81408">
            <w:pPr>
              <w:jc w:val="right"/>
            </w:pPr>
            <w:r>
              <w:rPr>
                <w:color w:val="000000"/>
                <w:sz w:val="24"/>
              </w:rPr>
              <w:t>0.60</w:t>
            </w:r>
          </w:p>
        </w:tc>
      </w:tr>
      <w:tr w:rsidR="00FB3DED">
        <w:trPr>
          <w:jc w:val="center"/>
        </w:trPr>
        <w:tc>
          <w:tcPr>
            <w:tcW w:w="850" w:type="dxa"/>
            <w:vAlign w:val="center"/>
          </w:tcPr>
          <w:p w:rsidR="00FB3DED" w:rsidRDefault="00F81408">
            <w:pPr>
              <w:jc w:val="center"/>
            </w:pPr>
            <w:r>
              <w:rPr>
                <w:color w:val="000000"/>
                <w:sz w:val="24"/>
              </w:rPr>
              <w:t>8</w:t>
            </w:r>
          </w:p>
        </w:tc>
        <w:tc>
          <w:tcPr>
            <w:tcW w:w="1327" w:type="dxa"/>
            <w:vAlign w:val="center"/>
          </w:tcPr>
          <w:p w:rsidR="00FB3DED" w:rsidRDefault="00F81408">
            <w:pPr>
              <w:jc w:val="center"/>
            </w:pPr>
            <w:r>
              <w:rPr>
                <w:color w:val="000000"/>
                <w:sz w:val="24"/>
              </w:rPr>
              <w:t>000001</w:t>
            </w:r>
          </w:p>
        </w:tc>
        <w:tc>
          <w:tcPr>
            <w:tcW w:w="1769" w:type="dxa"/>
            <w:vAlign w:val="center"/>
          </w:tcPr>
          <w:p w:rsidR="00FB3DED" w:rsidRDefault="00F81408">
            <w:pPr>
              <w:jc w:val="center"/>
            </w:pPr>
            <w:r>
              <w:rPr>
                <w:color w:val="000000"/>
                <w:sz w:val="24"/>
              </w:rPr>
              <w:t>平安银行</w:t>
            </w:r>
          </w:p>
        </w:tc>
        <w:tc>
          <w:tcPr>
            <w:tcW w:w="1327" w:type="dxa"/>
            <w:vAlign w:val="center"/>
          </w:tcPr>
          <w:p w:rsidR="00FB3DED" w:rsidRDefault="00F81408">
            <w:pPr>
              <w:jc w:val="right"/>
            </w:pPr>
            <w:r>
              <w:rPr>
                <w:color w:val="000000"/>
                <w:sz w:val="24"/>
              </w:rPr>
              <w:t>150,000</w:t>
            </w:r>
          </w:p>
        </w:tc>
        <w:tc>
          <w:tcPr>
            <w:tcW w:w="1915" w:type="dxa"/>
            <w:vAlign w:val="center"/>
          </w:tcPr>
          <w:p w:rsidR="00FB3DED" w:rsidRDefault="00F81408">
            <w:pPr>
              <w:jc w:val="right"/>
            </w:pPr>
            <w:r>
              <w:rPr>
                <w:color w:val="000000"/>
                <w:sz w:val="24"/>
              </w:rPr>
              <w:t>2,338,500.00</w:t>
            </w:r>
          </w:p>
        </w:tc>
        <w:tc>
          <w:tcPr>
            <w:tcW w:w="1680" w:type="dxa"/>
            <w:vAlign w:val="center"/>
          </w:tcPr>
          <w:p w:rsidR="00FB3DED" w:rsidRDefault="00F81408">
            <w:pPr>
              <w:jc w:val="right"/>
            </w:pPr>
            <w:r>
              <w:rPr>
                <w:color w:val="000000"/>
                <w:sz w:val="24"/>
              </w:rPr>
              <w:t>0.49</w:t>
            </w:r>
          </w:p>
        </w:tc>
      </w:tr>
      <w:tr w:rsidR="00FB3DED">
        <w:trPr>
          <w:jc w:val="center"/>
        </w:trPr>
        <w:tc>
          <w:tcPr>
            <w:tcW w:w="850" w:type="dxa"/>
            <w:vAlign w:val="center"/>
          </w:tcPr>
          <w:p w:rsidR="00FB3DED" w:rsidRDefault="00F81408">
            <w:pPr>
              <w:jc w:val="center"/>
            </w:pPr>
            <w:r>
              <w:rPr>
                <w:color w:val="000000"/>
                <w:sz w:val="24"/>
              </w:rPr>
              <w:t>9</w:t>
            </w:r>
          </w:p>
        </w:tc>
        <w:tc>
          <w:tcPr>
            <w:tcW w:w="1327" w:type="dxa"/>
            <w:vAlign w:val="center"/>
          </w:tcPr>
          <w:p w:rsidR="00FB3DED" w:rsidRDefault="00F81408">
            <w:pPr>
              <w:jc w:val="center"/>
            </w:pPr>
            <w:r>
              <w:rPr>
                <w:color w:val="000000"/>
                <w:sz w:val="24"/>
              </w:rPr>
              <w:t>600258</w:t>
            </w:r>
          </w:p>
        </w:tc>
        <w:tc>
          <w:tcPr>
            <w:tcW w:w="1769" w:type="dxa"/>
            <w:vAlign w:val="center"/>
          </w:tcPr>
          <w:p w:rsidR="00FB3DED" w:rsidRDefault="00F81408">
            <w:pPr>
              <w:jc w:val="center"/>
            </w:pPr>
            <w:r>
              <w:rPr>
                <w:color w:val="000000"/>
                <w:sz w:val="24"/>
              </w:rPr>
              <w:t>首旅酒店</w:t>
            </w:r>
          </w:p>
        </w:tc>
        <w:tc>
          <w:tcPr>
            <w:tcW w:w="1327" w:type="dxa"/>
            <w:vAlign w:val="center"/>
          </w:tcPr>
          <w:p w:rsidR="00FB3DED" w:rsidRDefault="00F81408">
            <w:pPr>
              <w:jc w:val="right"/>
            </w:pPr>
            <w:r>
              <w:rPr>
                <w:color w:val="000000"/>
                <w:sz w:val="24"/>
              </w:rPr>
              <w:t>136,300</w:t>
            </w:r>
          </w:p>
        </w:tc>
        <w:tc>
          <w:tcPr>
            <w:tcW w:w="1915" w:type="dxa"/>
            <w:vAlign w:val="center"/>
          </w:tcPr>
          <w:p w:rsidR="00FB3DED" w:rsidRDefault="00F81408">
            <w:pPr>
              <w:jc w:val="right"/>
            </w:pPr>
            <w:r>
              <w:rPr>
                <w:color w:val="000000"/>
                <w:sz w:val="24"/>
              </w:rPr>
              <w:t>2,288,477.00</w:t>
            </w:r>
          </w:p>
        </w:tc>
        <w:tc>
          <w:tcPr>
            <w:tcW w:w="1680" w:type="dxa"/>
            <w:vAlign w:val="center"/>
          </w:tcPr>
          <w:p w:rsidR="00FB3DED" w:rsidRDefault="00F81408">
            <w:pPr>
              <w:jc w:val="right"/>
            </w:pPr>
            <w:r>
              <w:rPr>
                <w:color w:val="000000"/>
                <w:sz w:val="24"/>
              </w:rPr>
              <w:t>0.48</w:t>
            </w:r>
          </w:p>
        </w:tc>
      </w:tr>
      <w:tr w:rsidR="00FB3DED">
        <w:trPr>
          <w:jc w:val="center"/>
        </w:trPr>
        <w:tc>
          <w:tcPr>
            <w:tcW w:w="850" w:type="dxa"/>
            <w:vAlign w:val="center"/>
          </w:tcPr>
          <w:p w:rsidR="00FB3DED" w:rsidRDefault="00F81408">
            <w:pPr>
              <w:jc w:val="center"/>
            </w:pPr>
            <w:r>
              <w:rPr>
                <w:color w:val="000000"/>
                <w:sz w:val="24"/>
              </w:rPr>
              <w:t>10</w:t>
            </w:r>
          </w:p>
        </w:tc>
        <w:tc>
          <w:tcPr>
            <w:tcW w:w="1327" w:type="dxa"/>
            <w:vAlign w:val="center"/>
          </w:tcPr>
          <w:p w:rsidR="00FB3DED" w:rsidRDefault="00F81408">
            <w:pPr>
              <w:jc w:val="center"/>
            </w:pPr>
            <w:r>
              <w:rPr>
                <w:color w:val="000000"/>
                <w:sz w:val="24"/>
              </w:rPr>
              <w:t>601933</w:t>
            </w:r>
          </w:p>
        </w:tc>
        <w:tc>
          <w:tcPr>
            <w:tcW w:w="1769" w:type="dxa"/>
            <w:vAlign w:val="center"/>
          </w:tcPr>
          <w:p w:rsidR="00FB3DED" w:rsidRDefault="00F81408">
            <w:pPr>
              <w:jc w:val="center"/>
            </w:pPr>
            <w:r>
              <w:rPr>
                <w:color w:val="000000"/>
                <w:sz w:val="24"/>
              </w:rPr>
              <w:t>永辉超市</w:t>
            </w:r>
          </w:p>
        </w:tc>
        <w:tc>
          <w:tcPr>
            <w:tcW w:w="1327" w:type="dxa"/>
            <w:vAlign w:val="center"/>
          </w:tcPr>
          <w:p w:rsidR="00FB3DED" w:rsidRDefault="00F81408">
            <w:pPr>
              <w:jc w:val="right"/>
            </w:pPr>
            <w:r>
              <w:rPr>
                <w:color w:val="000000"/>
                <w:sz w:val="24"/>
              </w:rPr>
              <w:t>255,300</w:t>
            </w:r>
          </w:p>
        </w:tc>
        <w:tc>
          <w:tcPr>
            <w:tcW w:w="1915" w:type="dxa"/>
            <w:vAlign w:val="center"/>
          </w:tcPr>
          <w:p w:rsidR="00FB3DED" w:rsidRDefault="00F81408">
            <w:pPr>
              <w:jc w:val="right"/>
            </w:pPr>
            <w:r>
              <w:rPr>
                <w:color w:val="000000"/>
                <w:sz w:val="24"/>
              </w:rPr>
              <w:t>2,269,617.00</w:t>
            </w:r>
          </w:p>
        </w:tc>
        <w:tc>
          <w:tcPr>
            <w:tcW w:w="1680" w:type="dxa"/>
            <w:vAlign w:val="center"/>
          </w:tcPr>
          <w:p w:rsidR="00FB3DED" w:rsidRDefault="00F81408">
            <w:pPr>
              <w:jc w:val="right"/>
            </w:pPr>
            <w:r>
              <w:rPr>
                <w:color w:val="000000"/>
                <w:sz w:val="24"/>
              </w:rPr>
              <w:t>0.48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24,493,719.40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24,493,719.40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208,294,650.00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121,751,000.00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2,200,800.00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0.46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417,012,169.40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B3DED">
        <w:trPr>
          <w:jc w:val="center"/>
        </w:trPr>
        <w:tc>
          <w:tcPr>
            <w:tcW w:w="1075" w:type="dxa"/>
            <w:vAlign w:val="center"/>
          </w:tcPr>
          <w:p w:rsidR="00FB3DED" w:rsidRDefault="00F81408">
            <w:pPr>
              <w:jc w:val="center"/>
            </w:pPr>
            <w:r>
              <w:rPr>
                <w:color w:val="000000"/>
                <w:sz w:val="24"/>
              </w:rPr>
              <w:t>1</w:t>
            </w:r>
          </w:p>
        </w:tc>
        <w:tc>
          <w:tcPr>
            <w:tcW w:w="1533" w:type="dxa"/>
            <w:vAlign w:val="center"/>
          </w:tcPr>
          <w:p w:rsidR="00FB3DED" w:rsidRDefault="00F81408">
            <w:pPr>
              <w:jc w:val="center"/>
            </w:pPr>
            <w:r>
              <w:rPr>
                <w:color w:val="000000"/>
                <w:sz w:val="24"/>
              </w:rPr>
              <w:t>018007</w:t>
            </w:r>
          </w:p>
        </w:tc>
        <w:tc>
          <w:tcPr>
            <w:tcW w:w="1533" w:type="dxa"/>
            <w:vAlign w:val="center"/>
          </w:tcPr>
          <w:p w:rsidR="00FB3DED" w:rsidRDefault="00F81408">
            <w:pPr>
              <w:jc w:val="center"/>
            </w:pPr>
            <w:r>
              <w:rPr>
                <w:color w:val="000000"/>
                <w:sz w:val="24"/>
              </w:rPr>
              <w:t>国开</w:t>
            </w:r>
            <w:r>
              <w:rPr>
                <w:color w:val="000000"/>
                <w:sz w:val="24"/>
              </w:rPr>
              <w:t>1801</w:t>
            </w:r>
          </w:p>
        </w:tc>
        <w:tc>
          <w:tcPr>
            <w:tcW w:w="1394" w:type="dxa"/>
            <w:vAlign w:val="center"/>
          </w:tcPr>
          <w:p w:rsidR="00FB3DED" w:rsidRDefault="00F81408">
            <w:pPr>
              <w:jc w:val="right"/>
            </w:pPr>
            <w:r>
              <w:rPr>
                <w:color w:val="000000"/>
                <w:sz w:val="24"/>
              </w:rPr>
              <w:t>220,000</w:t>
            </w:r>
          </w:p>
        </w:tc>
        <w:tc>
          <w:tcPr>
            <w:tcW w:w="1944" w:type="dxa"/>
            <w:vAlign w:val="center"/>
          </w:tcPr>
          <w:p w:rsidR="00FB3DED" w:rsidRDefault="00F81408">
            <w:pPr>
              <w:jc w:val="right"/>
            </w:pPr>
            <w:r>
              <w:rPr>
                <w:color w:val="000000"/>
                <w:sz w:val="24"/>
              </w:rPr>
              <w:t>22,264,000.00</w:t>
            </w:r>
          </w:p>
        </w:tc>
        <w:tc>
          <w:tcPr>
            <w:tcW w:w="1389" w:type="dxa"/>
            <w:vAlign w:val="center"/>
          </w:tcPr>
          <w:p w:rsidR="00FB3DED" w:rsidRDefault="00F81408">
            <w:pPr>
              <w:jc w:val="right"/>
            </w:pPr>
            <w:r>
              <w:rPr>
                <w:color w:val="000000"/>
                <w:sz w:val="24"/>
              </w:rPr>
              <w:t>4.66</w:t>
            </w:r>
          </w:p>
        </w:tc>
      </w:tr>
      <w:tr w:rsidR="00FB3DED">
        <w:trPr>
          <w:jc w:val="center"/>
        </w:trPr>
        <w:tc>
          <w:tcPr>
            <w:tcW w:w="1075" w:type="dxa"/>
            <w:vAlign w:val="center"/>
          </w:tcPr>
          <w:p w:rsidR="00FB3DED" w:rsidRDefault="00F81408">
            <w:pPr>
              <w:jc w:val="center"/>
            </w:pPr>
            <w:r>
              <w:rPr>
                <w:color w:val="000000"/>
                <w:sz w:val="24"/>
              </w:rPr>
              <w:t>2</w:t>
            </w:r>
          </w:p>
        </w:tc>
        <w:tc>
          <w:tcPr>
            <w:tcW w:w="1533" w:type="dxa"/>
            <w:vAlign w:val="center"/>
          </w:tcPr>
          <w:p w:rsidR="00FB3DED" w:rsidRDefault="00F81408">
            <w:pPr>
              <w:jc w:val="center"/>
            </w:pPr>
            <w:r>
              <w:rPr>
                <w:color w:val="000000"/>
                <w:sz w:val="24"/>
              </w:rPr>
              <w:t>143662</w:t>
            </w:r>
          </w:p>
        </w:tc>
        <w:tc>
          <w:tcPr>
            <w:tcW w:w="1533" w:type="dxa"/>
            <w:vAlign w:val="center"/>
          </w:tcPr>
          <w:p w:rsidR="00FB3DED" w:rsidRDefault="00F81408">
            <w:pPr>
              <w:jc w:val="center"/>
            </w:pPr>
            <w:r>
              <w:rPr>
                <w:color w:val="000000"/>
                <w:sz w:val="24"/>
              </w:rPr>
              <w:t>18</w:t>
            </w:r>
            <w:r>
              <w:rPr>
                <w:color w:val="000000"/>
                <w:sz w:val="24"/>
              </w:rPr>
              <w:t>国电</w:t>
            </w:r>
            <w:r>
              <w:rPr>
                <w:color w:val="000000"/>
                <w:sz w:val="24"/>
              </w:rPr>
              <w:t>02</w:t>
            </w:r>
          </w:p>
        </w:tc>
        <w:tc>
          <w:tcPr>
            <w:tcW w:w="1394" w:type="dxa"/>
            <w:vAlign w:val="center"/>
          </w:tcPr>
          <w:p w:rsidR="00FB3DED" w:rsidRDefault="00F81408">
            <w:pPr>
              <w:jc w:val="right"/>
            </w:pPr>
            <w:r>
              <w:rPr>
                <w:color w:val="000000"/>
                <w:sz w:val="24"/>
              </w:rPr>
              <w:t>200,000</w:t>
            </w:r>
          </w:p>
        </w:tc>
        <w:tc>
          <w:tcPr>
            <w:tcW w:w="1944" w:type="dxa"/>
            <w:vAlign w:val="center"/>
          </w:tcPr>
          <w:p w:rsidR="00FB3DED" w:rsidRDefault="00F81408">
            <w:pPr>
              <w:jc w:val="right"/>
            </w:pPr>
            <w:r>
              <w:rPr>
                <w:color w:val="000000"/>
                <w:sz w:val="24"/>
              </w:rPr>
              <w:t>20,454,000.00</w:t>
            </w:r>
          </w:p>
        </w:tc>
        <w:tc>
          <w:tcPr>
            <w:tcW w:w="1389" w:type="dxa"/>
            <w:vAlign w:val="center"/>
          </w:tcPr>
          <w:p w:rsidR="00FB3DED" w:rsidRDefault="00F81408">
            <w:pPr>
              <w:jc w:val="right"/>
            </w:pPr>
            <w:r>
              <w:rPr>
                <w:color w:val="000000"/>
                <w:sz w:val="24"/>
              </w:rPr>
              <w:t>4.29</w:t>
            </w:r>
          </w:p>
        </w:tc>
      </w:tr>
      <w:tr w:rsidR="00FB3DED">
        <w:trPr>
          <w:jc w:val="center"/>
        </w:trPr>
        <w:tc>
          <w:tcPr>
            <w:tcW w:w="1075" w:type="dxa"/>
            <w:vAlign w:val="center"/>
          </w:tcPr>
          <w:p w:rsidR="00FB3DED" w:rsidRDefault="00F81408">
            <w:pPr>
              <w:jc w:val="center"/>
            </w:pPr>
            <w:r>
              <w:rPr>
                <w:color w:val="000000"/>
                <w:sz w:val="24"/>
              </w:rPr>
              <w:t>3</w:t>
            </w:r>
          </w:p>
        </w:tc>
        <w:tc>
          <w:tcPr>
            <w:tcW w:w="1533" w:type="dxa"/>
            <w:vAlign w:val="center"/>
          </w:tcPr>
          <w:p w:rsidR="00FB3DED" w:rsidRDefault="00F81408">
            <w:pPr>
              <w:jc w:val="center"/>
            </w:pPr>
            <w:r>
              <w:rPr>
                <w:color w:val="000000"/>
                <w:sz w:val="24"/>
              </w:rPr>
              <w:t>143725</w:t>
            </w:r>
          </w:p>
        </w:tc>
        <w:tc>
          <w:tcPr>
            <w:tcW w:w="1533" w:type="dxa"/>
            <w:vAlign w:val="center"/>
          </w:tcPr>
          <w:p w:rsidR="00FB3DED" w:rsidRDefault="00F81408">
            <w:pPr>
              <w:jc w:val="center"/>
            </w:pPr>
            <w:r>
              <w:rPr>
                <w:color w:val="000000"/>
                <w:sz w:val="24"/>
              </w:rPr>
              <w:t>18</w:t>
            </w:r>
            <w:r>
              <w:rPr>
                <w:color w:val="000000"/>
                <w:sz w:val="24"/>
              </w:rPr>
              <w:t>光明</w:t>
            </w:r>
            <w:r>
              <w:rPr>
                <w:color w:val="000000"/>
                <w:sz w:val="24"/>
              </w:rPr>
              <w:t>01</w:t>
            </w:r>
          </w:p>
        </w:tc>
        <w:tc>
          <w:tcPr>
            <w:tcW w:w="1394" w:type="dxa"/>
            <w:vAlign w:val="center"/>
          </w:tcPr>
          <w:p w:rsidR="00FB3DED" w:rsidRDefault="00F81408">
            <w:pPr>
              <w:jc w:val="right"/>
            </w:pPr>
            <w:r>
              <w:rPr>
                <w:color w:val="000000"/>
                <w:sz w:val="24"/>
              </w:rPr>
              <w:t>200,000</w:t>
            </w:r>
          </w:p>
        </w:tc>
        <w:tc>
          <w:tcPr>
            <w:tcW w:w="1944" w:type="dxa"/>
            <w:vAlign w:val="center"/>
          </w:tcPr>
          <w:p w:rsidR="00FB3DED" w:rsidRDefault="00F81408">
            <w:pPr>
              <w:jc w:val="right"/>
            </w:pPr>
            <w:r>
              <w:rPr>
                <w:color w:val="000000"/>
                <w:sz w:val="24"/>
              </w:rPr>
              <w:t>20,378,000.00</w:t>
            </w:r>
          </w:p>
        </w:tc>
        <w:tc>
          <w:tcPr>
            <w:tcW w:w="1389" w:type="dxa"/>
            <w:vAlign w:val="center"/>
          </w:tcPr>
          <w:p w:rsidR="00FB3DED" w:rsidRDefault="00F81408">
            <w:pPr>
              <w:jc w:val="right"/>
            </w:pPr>
            <w:r>
              <w:rPr>
                <w:color w:val="000000"/>
                <w:sz w:val="24"/>
              </w:rPr>
              <w:t>4.27</w:t>
            </w:r>
          </w:p>
        </w:tc>
      </w:tr>
      <w:tr w:rsidR="00FB3DED">
        <w:trPr>
          <w:jc w:val="center"/>
        </w:trPr>
        <w:tc>
          <w:tcPr>
            <w:tcW w:w="1075" w:type="dxa"/>
            <w:vAlign w:val="center"/>
          </w:tcPr>
          <w:p w:rsidR="00FB3DED" w:rsidRDefault="00F81408">
            <w:pPr>
              <w:jc w:val="center"/>
            </w:pPr>
            <w:r>
              <w:rPr>
                <w:color w:val="000000"/>
                <w:sz w:val="24"/>
              </w:rPr>
              <w:t>4</w:t>
            </w:r>
          </w:p>
        </w:tc>
        <w:tc>
          <w:tcPr>
            <w:tcW w:w="1533" w:type="dxa"/>
            <w:vAlign w:val="center"/>
          </w:tcPr>
          <w:p w:rsidR="00FB3DED" w:rsidRDefault="00F81408">
            <w:pPr>
              <w:jc w:val="center"/>
            </w:pPr>
            <w:r>
              <w:rPr>
                <w:color w:val="000000"/>
                <w:sz w:val="24"/>
              </w:rPr>
              <w:t>101554029</w:t>
            </w:r>
          </w:p>
        </w:tc>
        <w:tc>
          <w:tcPr>
            <w:tcW w:w="1533" w:type="dxa"/>
            <w:vAlign w:val="center"/>
          </w:tcPr>
          <w:p w:rsidR="00FB3DED" w:rsidRDefault="00F81408">
            <w:pPr>
              <w:jc w:val="center"/>
            </w:pPr>
            <w:r>
              <w:rPr>
                <w:color w:val="000000"/>
                <w:sz w:val="24"/>
              </w:rPr>
              <w:t>15</w:t>
            </w:r>
            <w:r>
              <w:rPr>
                <w:color w:val="000000"/>
                <w:sz w:val="24"/>
              </w:rPr>
              <w:t>穗地铁</w:t>
            </w:r>
            <w:r>
              <w:rPr>
                <w:color w:val="000000"/>
                <w:sz w:val="24"/>
              </w:rPr>
              <w:t>MTN001</w:t>
            </w:r>
          </w:p>
        </w:tc>
        <w:tc>
          <w:tcPr>
            <w:tcW w:w="1394" w:type="dxa"/>
            <w:vAlign w:val="center"/>
          </w:tcPr>
          <w:p w:rsidR="00FB3DED" w:rsidRDefault="00F81408">
            <w:pPr>
              <w:jc w:val="right"/>
            </w:pPr>
            <w:r>
              <w:rPr>
                <w:color w:val="000000"/>
                <w:sz w:val="24"/>
              </w:rPr>
              <w:t>200,000</w:t>
            </w:r>
          </w:p>
        </w:tc>
        <w:tc>
          <w:tcPr>
            <w:tcW w:w="1944" w:type="dxa"/>
            <w:vAlign w:val="center"/>
          </w:tcPr>
          <w:p w:rsidR="00FB3DED" w:rsidRDefault="00F81408">
            <w:pPr>
              <w:jc w:val="right"/>
            </w:pPr>
            <w:r>
              <w:rPr>
                <w:color w:val="000000"/>
                <w:sz w:val="24"/>
              </w:rPr>
              <w:t>20,216,000.00</w:t>
            </w:r>
          </w:p>
        </w:tc>
        <w:tc>
          <w:tcPr>
            <w:tcW w:w="1389" w:type="dxa"/>
            <w:vAlign w:val="center"/>
          </w:tcPr>
          <w:p w:rsidR="00FB3DED" w:rsidRDefault="00F81408">
            <w:pPr>
              <w:jc w:val="right"/>
            </w:pPr>
            <w:r>
              <w:rPr>
                <w:color w:val="000000"/>
                <w:sz w:val="24"/>
              </w:rPr>
              <w:t>4.24</w:t>
            </w:r>
          </w:p>
        </w:tc>
      </w:tr>
      <w:tr w:rsidR="00FB3DED">
        <w:trPr>
          <w:jc w:val="center"/>
        </w:trPr>
        <w:tc>
          <w:tcPr>
            <w:tcW w:w="1075" w:type="dxa"/>
            <w:vAlign w:val="center"/>
          </w:tcPr>
          <w:p w:rsidR="00FB3DED" w:rsidRDefault="00F81408">
            <w:pPr>
              <w:jc w:val="center"/>
            </w:pPr>
            <w:r>
              <w:rPr>
                <w:color w:val="000000"/>
                <w:sz w:val="24"/>
              </w:rPr>
              <w:t>5</w:t>
            </w:r>
          </w:p>
        </w:tc>
        <w:tc>
          <w:tcPr>
            <w:tcW w:w="1533" w:type="dxa"/>
            <w:vAlign w:val="center"/>
          </w:tcPr>
          <w:p w:rsidR="00FB3DED" w:rsidRDefault="00F81408">
            <w:pPr>
              <w:jc w:val="center"/>
            </w:pPr>
            <w:r>
              <w:rPr>
                <w:color w:val="000000"/>
                <w:sz w:val="24"/>
              </w:rPr>
              <w:t>136053</w:t>
            </w:r>
          </w:p>
        </w:tc>
        <w:tc>
          <w:tcPr>
            <w:tcW w:w="1533" w:type="dxa"/>
            <w:vAlign w:val="center"/>
          </w:tcPr>
          <w:p w:rsidR="00FB3DED" w:rsidRDefault="00F81408">
            <w:pPr>
              <w:jc w:val="center"/>
            </w:pPr>
            <w:r>
              <w:rPr>
                <w:color w:val="000000"/>
                <w:sz w:val="24"/>
              </w:rPr>
              <w:t>15</w:t>
            </w:r>
            <w:r>
              <w:rPr>
                <w:color w:val="000000"/>
                <w:sz w:val="24"/>
              </w:rPr>
              <w:t>南航</w:t>
            </w:r>
            <w:r>
              <w:rPr>
                <w:color w:val="000000"/>
                <w:sz w:val="24"/>
              </w:rPr>
              <w:t>01</w:t>
            </w:r>
          </w:p>
        </w:tc>
        <w:tc>
          <w:tcPr>
            <w:tcW w:w="1394" w:type="dxa"/>
            <w:vAlign w:val="center"/>
          </w:tcPr>
          <w:p w:rsidR="00FB3DED" w:rsidRDefault="00F81408">
            <w:pPr>
              <w:jc w:val="right"/>
            </w:pPr>
            <w:r>
              <w:rPr>
                <w:color w:val="000000"/>
                <w:sz w:val="24"/>
              </w:rPr>
              <w:t>200,000</w:t>
            </w:r>
          </w:p>
        </w:tc>
        <w:tc>
          <w:tcPr>
            <w:tcW w:w="1944" w:type="dxa"/>
            <w:vAlign w:val="center"/>
          </w:tcPr>
          <w:p w:rsidR="00FB3DED" w:rsidRDefault="00F81408">
            <w:pPr>
              <w:jc w:val="right"/>
            </w:pPr>
            <w:r>
              <w:rPr>
                <w:color w:val="000000"/>
                <w:sz w:val="24"/>
              </w:rPr>
              <w:t>20,210,000.00</w:t>
            </w:r>
          </w:p>
        </w:tc>
        <w:tc>
          <w:tcPr>
            <w:tcW w:w="1389" w:type="dxa"/>
            <w:vAlign w:val="center"/>
          </w:tcPr>
          <w:p w:rsidR="00FB3DED" w:rsidRDefault="00F81408">
            <w:pPr>
              <w:jc w:val="right"/>
            </w:pPr>
            <w:r>
              <w:rPr>
                <w:color w:val="000000"/>
                <w:sz w:val="24"/>
              </w:rPr>
              <w:t>4.23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57,242.80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5,932,966.10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557,165.19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6,547,374.09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B3DED">
        <w:trPr>
          <w:jc w:val="center"/>
        </w:trPr>
        <w:tc>
          <w:tcPr>
            <w:tcW w:w="0" w:type="auto"/>
            <w:vAlign w:val="center"/>
          </w:tcPr>
          <w:p w:rsidR="00FB3DED" w:rsidRDefault="00F81408">
            <w:pPr>
              <w:jc w:val="center"/>
            </w:pPr>
            <w:r>
              <w:rPr>
                <w:rFonts w:eastAsiaTheme="minorEastAsia"/>
                <w:color w:val="000000"/>
                <w:sz w:val="24"/>
              </w:rPr>
              <w:t>1</w:t>
            </w:r>
          </w:p>
        </w:tc>
        <w:tc>
          <w:tcPr>
            <w:tcW w:w="0" w:type="auto"/>
            <w:vAlign w:val="center"/>
          </w:tcPr>
          <w:p w:rsidR="00FB3DED" w:rsidRDefault="00F81408">
            <w:pPr>
              <w:jc w:val="center"/>
            </w:pPr>
            <w:r>
              <w:rPr>
                <w:rFonts w:eastAsiaTheme="minorEastAsia"/>
                <w:color w:val="000000"/>
                <w:sz w:val="24"/>
              </w:rPr>
              <w:t>113021</w:t>
            </w:r>
          </w:p>
        </w:tc>
        <w:tc>
          <w:tcPr>
            <w:tcW w:w="0" w:type="auto"/>
            <w:vAlign w:val="center"/>
          </w:tcPr>
          <w:p w:rsidR="00FB3DED" w:rsidRDefault="00A06E93">
            <w:pPr>
              <w:jc w:val="center"/>
            </w:pPr>
            <w:r w:rsidRPr="00A06E93">
              <w:rPr>
                <w:rFonts w:eastAsiaTheme="minorEastAsia" w:hint="eastAsia"/>
                <w:color w:val="000000"/>
                <w:sz w:val="24"/>
              </w:rPr>
              <w:t>中信转债</w:t>
            </w:r>
            <w:bookmarkStart w:id="0" w:name="_GoBack"/>
            <w:bookmarkEnd w:id="0"/>
          </w:p>
        </w:tc>
        <w:tc>
          <w:tcPr>
            <w:tcW w:w="0" w:type="auto"/>
            <w:vAlign w:val="center"/>
          </w:tcPr>
          <w:p w:rsidR="00FB3DED" w:rsidRDefault="00F81408">
            <w:pPr>
              <w:jc w:val="right"/>
            </w:pPr>
            <w:r>
              <w:rPr>
                <w:rFonts w:eastAsiaTheme="minorEastAsia"/>
                <w:color w:val="000000"/>
                <w:sz w:val="24"/>
              </w:rPr>
              <w:t>2,122,800.00</w:t>
            </w:r>
          </w:p>
        </w:tc>
        <w:tc>
          <w:tcPr>
            <w:tcW w:w="0" w:type="auto"/>
            <w:vAlign w:val="center"/>
          </w:tcPr>
          <w:p w:rsidR="00FB3DED" w:rsidRDefault="00F81408">
            <w:pPr>
              <w:jc w:val="right"/>
            </w:pPr>
            <w:r>
              <w:rPr>
                <w:rFonts w:eastAsiaTheme="minorEastAsia"/>
                <w:color w:val="000000"/>
                <w:sz w:val="24"/>
              </w:rPr>
              <w:t>0.44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204,676,596.14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122,304,323.42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61,875,857.74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22,497,814.42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28,119,774.09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7,134,758.93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238,432,679.79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137,667,378.91</w:t>
            </w:r>
          </w:p>
        </w:tc>
      </w:tr>
    </w:tbl>
    <w:p w:rsidR="00FB3DED" w:rsidRDefault="00F8140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FB3DED" w:rsidRDefault="00F8140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06E93">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06E93">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06E93"/>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1408"/>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3DED"/>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9DCA-27B0-4033-8559-2BC7F55D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16</Pages>
  <Words>1336</Words>
  <Characters>7621</Characters>
  <Application>Microsoft Office Word</Application>
  <DocSecurity>0</DocSecurity>
  <Lines>63</Lines>
  <Paragraphs>17</Paragraphs>
  <ScaleCrop>false</ScaleCrop>
  <Company>TRT. Ltd. Co.</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404</cp:revision>
  <cp:lastPrinted>2007-07-19T00:46:00Z</cp:lastPrinted>
  <dcterms:created xsi:type="dcterms:W3CDTF">2014-01-17T06:19:00Z</dcterms:created>
  <dcterms:modified xsi:type="dcterms:W3CDTF">2019-10-16T08:14:00Z</dcterms:modified>
</cp:coreProperties>
</file>