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交银施罗德数据产业灵活配置混合型证券投资基金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交银数据产业灵活配置混合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519773</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519773</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2016年8月16日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683,131,730.74</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本基金重点关注数据产业链的上中下游企业，在控制风险并保持基金资产良好的流动性的前提下，力争实现基金资产的长期稳定增值。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118,062,048.02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150,732,250.52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0.1943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725,205,472.19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1.062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22.07%</w:t>
            </w:r>
          </w:p>
        </w:tc>
        <w:tc>
          <w:tcPr>
            <w:vAlign w:val="center"/>
          </w:tcPr>
          <w:p>
            <w:pPr>
              <w:jc w:val="center"/>
            </w:pPr>
            <w:r>
              <w:rPr>
                <w:color w:val="000000"/>
                <w:sz w:val="24"/>
                <w:szCs w:val="24"/>
              </w:rPr>
              <w:t>1.45%</w:t>
            </w:r>
          </w:p>
        </w:tc>
        <w:tc>
          <w:tcPr>
            <w:vAlign w:val="center"/>
          </w:tcPr>
          <w:p>
            <w:pPr>
              <w:jc w:val="center"/>
            </w:pPr>
            <w:r>
              <w:rPr>
                <w:color w:val="000000"/>
                <w:sz w:val="24"/>
                <w:szCs w:val="24"/>
              </w:rPr>
              <w:t>0.45%</w:t>
            </w:r>
          </w:p>
        </w:tc>
        <w:tc>
          <w:tcPr>
            <w:vAlign w:val="center"/>
          </w:tcPr>
          <w:p>
            <w:pPr>
              <w:jc w:val="center"/>
            </w:pPr>
            <w:r>
              <w:rPr>
                <w:color w:val="000000"/>
                <w:sz w:val="24"/>
                <w:szCs w:val="24"/>
              </w:rPr>
              <w:t>0.57%</w:t>
            </w:r>
          </w:p>
        </w:tc>
        <w:tc>
          <w:tcPr>
            <w:vAlign w:val="center"/>
          </w:tcPr>
          <w:p>
            <w:pPr>
              <w:jc w:val="center"/>
            </w:pPr>
            <w:r>
              <w:rPr>
                <w:color w:val="000000"/>
                <w:sz w:val="24"/>
                <w:szCs w:val="24"/>
              </w:rPr>
              <w:t>21.62%</w:t>
            </w:r>
          </w:p>
        </w:tc>
        <w:tc>
          <w:tcPr>
            <w:vAlign w:val="center"/>
          </w:tcPr>
          <w:p>
            <w:pPr>
              <w:jc w:val="center"/>
            </w:pPr>
            <w:r>
              <w:rPr>
                <w:color w:val="000000"/>
                <w:sz w:val="24"/>
                <w:szCs w:val="24"/>
              </w:rPr>
              <w:t>0.88%</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交银施罗德数据产业灵活配置混合型证券投资基金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2016年8月16日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田彧龙</w:t>
            </w:r>
          </w:p>
        </w:tc>
        <w:tc>
          <w:tcPr>
            <w:vAlign w:val="center"/>
          </w:tcPr>
          <w:p>
            <w:pPr>
              <w:jc w:val="center"/>
            </w:pPr>
            <w:r>
              <w:rPr>
                <w:color w:val="000000"/>
                <w:sz w:val="24"/>
                <w:szCs w:val="24"/>
              </w:rPr>
              <w:t>交银数据产业灵活配置混合的基金经理</w:t>
            </w:r>
          </w:p>
        </w:tc>
        <w:tc>
          <w:tcPr>
            <w:vAlign w:val="center"/>
          </w:tcPr>
          <w:p>
            <w:pPr>
              <w:jc w:val="center"/>
            </w:pPr>
            <w:r>
              <w:rPr>
                <w:color w:val="000000"/>
                <w:sz w:val="24"/>
                <w:szCs w:val="24"/>
              </w:rPr>
              <w:t>2019-05-14</w:t>
            </w:r>
          </w:p>
        </w:tc>
        <w:tc>
          <w:tcPr>
            <w:vAlign w:val="center"/>
          </w:tcPr>
          <w:p>
            <w:pPr>
              <w:jc w:val="center"/>
            </w:pPr>
            <w:r>
              <w:rPr>
                <w:color w:val="000000"/>
                <w:sz w:val="24"/>
                <w:szCs w:val="24"/>
              </w:rPr>
              <w:t>-</w:t>
            </w:r>
          </w:p>
        </w:tc>
        <w:tc>
          <w:tcPr>
            <w:vAlign w:val="center"/>
          </w:tcPr>
          <w:p>
            <w:pPr>
              <w:jc w:val="center"/>
            </w:pPr>
            <w:r>
              <w:rPr>
                <w:color w:val="000000"/>
                <w:sz w:val="24"/>
                <w:szCs w:val="24"/>
              </w:rPr>
              <w:t>5年</w:t>
            </w:r>
          </w:p>
        </w:tc>
        <w:tc>
          <w:tcPr>
            <w:vAlign w:val="center"/>
          </w:tcPr>
          <w:p>
            <w:pPr>
              <w:jc w:val="both"/>
            </w:pPr>
            <w:r>
              <w:rPr>
                <w:color w:val="000000"/>
                <w:sz w:val="24"/>
                <w:szCs w:val="24"/>
              </w:rPr>
              <w:t>田彧龙先生，上海交通大学金融学硕士，浙江大学光电信息工程学学士。2014年7月加入交银施罗德基金管理有限公司，历任行业分析师、基金经理助理。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三季度科技行情崛起。中美贸易摩擦的大背景下，以华为为代表的中国本土高科技企业不仅未被打垮，还因此进一步推动国产化替代的进程。5G建设加速，电子通信行业的一批优质公司中报业绩超预期，走出独立行情。宏观层面，流动性整体较为宽松，有利于风险偏好阶段性提升。</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四季度，我们仍然看好以TMT为代表的数据产业等领域。我们将相应地优化持仓结构，保留核心仓位，减持部分超涨个股。长期来看，我们认为新的一轮科技周期已经开始，我们将重点在半导体、云计算以及5G后周期等领域挖掘个股，力争为投资人创造持续稳定的超额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611,305,352.19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83.18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611,305,352.19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83.18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39,992,000.00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5.44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39,992,000.00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5.44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78,327,757.42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10.66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5,332,206.37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0.73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734,957,315.98</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407,787,761.81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56.23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118,744,125.20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16.37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28,950,630.00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23,704,562.46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10,404,339.60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2,824,800.00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18,889,133.12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611,305,352.19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84.29</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002123</w:t>
            </w:r>
          </w:p>
        </w:tc>
        <w:tc>
          <w:tcPr>
            <w:vAlign w:val="center"/>
          </w:tcPr>
          <w:p>
            <w:pPr>
              <w:jc w:val="center"/>
            </w:pPr>
            <w:r>
              <w:rPr>
                <w:color w:val="000000"/>
                <w:sz w:val="24"/>
                <w:szCs w:val="24"/>
              </w:rPr>
              <w:t>梦网集团</w:t>
            </w:r>
          </w:p>
        </w:tc>
        <w:tc>
          <w:tcPr>
            <w:vAlign w:val="center"/>
          </w:tcPr>
          <w:p>
            <w:pPr>
              <w:jc w:val="right"/>
            </w:pPr>
            <w:r>
              <w:rPr>
                <w:color w:val="000000"/>
                <w:sz w:val="24"/>
                <w:szCs w:val="24"/>
              </w:rPr>
              <w:t>3,987,400</w:t>
            </w:r>
          </w:p>
        </w:tc>
        <w:tc>
          <w:tcPr>
            <w:vAlign w:val="center"/>
          </w:tcPr>
          <w:p>
            <w:pPr>
              <w:jc w:val="right"/>
            </w:pPr>
            <w:r>
              <w:rPr>
                <w:color w:val="000000"/>
                <w:sz w:val="24"/>
                <w:szCs w:val="24"/>
              </w:rPr>
              <w:t>67,107,942.00</w:t>
            </w:r>
          </w:p>
        </w:tc>
        <w:tc>
          <w:tcPr>
            <w:vAlign w:val="center"/>
          </w:tcPr>
          <w:p>
            <w:pPr>
              <w:jc w:val="right"/>
            </w:pPr>
            <w:r>
              <w:rPr>
                <w:color w:val="000000"/>
                <w:sz w:val="24"/>
                <w:szCs w:val="24"/>
              </w:rPr>
              <w:t>9.25</w:t>
            </w:r>
          </w:p>
        </w:tc>
      </w:tr>
      <w:tr>
        <w:tc>
          <w:tcPr>
            <w:vAlign w:val="center"/>
          </w:tcPr>
          <w:p>
            <w:pPr>
              <w:jc w:val="center"/>
            </w:pPr>
            <w:r>
              <w:rPr>
                <w:color w:val="000000"/>
                <w:sz w:val="24"/>
                <w:szCs w:val="24"/>
              </w:rPr>
              <w:t>2</w:t>
            </w:r>
          </w:p>
        </w:tc>
        <w:tc>
          <w:tcPr>
            <w:vAlign w:val="center"/>
          </w:tcPr>
          <w:p>
            <w:pPr>
              <w:jc w:val="center"/>
            </w:pPr>
            <w:r>
              <w:rPr>
                <w:color w:val="000000"/>
                <w:sz w:val="24"/>
                <w:szCs w:val="24"/>
              </w:rPr>
              <w:t>300078</w:t>
            </w:r>
          </w:p>
        </w:tc>
        <w:tc>
          <w:tcPr>
            <w:vAlign w:val="center"/>
          </w:tcPr>
          <w:p>
            <w:pPr>
              <w:jc w:val="center"/>
            </w:pPr>
            <w:r>
              <w:rPr>
                <w:color w:val="000000"/>
                <w:sz w:val="24"/>
                <w:szCs w:val="24"/>
              </w:rPr>
              <w:t>思创医惠</w:t>
            </w:r>
          </w:p>
        </w:tc>
        <w:tc>
          <w:tcPr>
            <w:vAlign w:val="center"/>
          </w:tcPr>
          <w:p>
            <w:pPr>
              <w:jc w:val="right"/>
            </w:pPr>
            <w:r>
              <w:rPr>
                <w:color w:val="000000"/>
                <w:sz w:val="24"/>
                <w:szCs w:val="24"/>
              </w:rPr>
              <w:t>4,118,068</w:t>
            </w:r>
          </w:p>
        </w:tc>
        <w:tc>
          <w:tcPr>
            <w:vAlign w:val="center"/>
          </w:tcPr>
          <w:p>
            <w:pPr>
              <w:jc w:val="right"/>
            </w:pPr>
            <w:r>
              <w:rPr>
                <w:color w:val="000000"/>
                <w:sz w:val="24"/>
                <w:szCs w:val="24"/>
              </w:rPr>
              <w:t>48,510,841.04</w:t>
            </w:r>
          </w:p>
        </w:tc>
        <w:tc>
          <w:tcPr>
            <w:vAlign w:val="center"/>
          </w:tcPr>
          <w:p>
            <w:pPr>
              <w:jc w:val="right"/>
            </w:pPr>
            <w:r>
              <w:rPr>
                <w:color w:val="000000"/>
                <w:sz w:val="24"/>
                <w:szCs w:val="24"/>
              </w:rPr>
              <w:t>6.69</w:t>
            </w:r>
          </w:p>
        </w:tc>
      </w:tr>
      <w:tr>
        <w:tc>
          <w:tcPr>
            <w:vAlign w:val="center"/>
          </w:tcPr>
          <w:p>
            <w:pPr>
              <w:jc w:val="center"/>
            </w:pPr>
            <w:r>
              <w:rPr>
                <w:color w:val="000000"/>
                <w:sz w:val="24"/>
                <w:szCs w:val="24"/>
              </w:rPr>
              <w:t>3</w:t>
            </w:r>
          </w:p>
        </w:tc>
        <w:tc>
          <w:tcPr>
            <w:vAlign w:val="center"/>
          </w:tcPr>
          <w:p>
            <w:pPr>
              <w:jc w:val="center"/>
            </w:pPr>
            <w:r>
              <w:rPr>
                <w:color w:val="000000"/>
                <w:sz w:val="24"/>
                <w:szCs w:val="24"/>
              </w:rPr>
              <w:t>300782</w:t>
            </w:r>
          </w:p>
        </w:tc>
        <w:tc>
          <w:tcPr>
            <w:vAlign w:val="center"/>
          </w:tcPr>
          <w:p>
            <w:pPr>
              <w:jc w:val="center"/>
            </w:pPr>
            <w:r>
              <w:rPr>
                <w:color w:val="000000"/>
                <w:sz w:val="24"/>
                <w:szCs w:val="24"/>
              </w:rPr>
              <w:t>卓胜微</w:t>
            </w:r>
          </w:p>
        </w:tc>
        <w:tc>
          <w:tcPr>
            <w:vAlign w:val="center"/>
          </w:tcPr>
          <w:p>
            <w:pPr>
              <w:jc w:val="right"/>
            </w:pPr>
            <w:r>
              <w:rPr>
                <w:color w:val="000000"/>
                <w:sz w:val="24"/>
                <w:szCs w:val="24"/>
              </w:rPr>
              <w:t>115,651</w:t>
            </w:r>
          </w:p>
        </w:tc>
        <w:tc>
          <w:tcPr>
            <w:vAlign w:val="center"/>
          </w:tcPr>
          <w:p>
            <w:pPr>
              <w:jc w:val="right"/>
            </w:pPr>
            <w:r>
              <w:rPr>
                <w:color w:val="000000"/>
                <w:sz w:val="24"/>
                <w:szCs w:val="24"/>
              </w:rPr>
              <w:t>43,363,342.45</w:t>
            </w:r>
          </w:p>
        </w:tc>
        <w:tc>
          <w:tcPr>
            <w:vAlign w:val="center"/>
          </w:tcPr>
          <w:p>
            <w:pPr>
              <w:jc w:val="right"/>
            </w:pPr>
            <w:r>
              <w:rPr>
                <w:color w:val="000000"/>
                <w:sz w:val="24"/>
                <w:szCs w:val="24"/>
              </w:rPr>
              <w:t>5.98</w:t>
            </w:r>
          </w:p>
        </w:tc>
      </w:tr>
      <w:tr>
        <w:tc>
          <w:tcPr>
            <w:vAlign w:val="center"/>
          </w:tcPr>
          <w:p>
            <w:pPr>
              <w:jc w:val="center"/>
            </w:pPr>
            <w:r>
              <w:rPr>
                <w:color w:val="000000"/>
                <w:sz w:val="24"/>
                <w:szCs w:val="24"/>
              </w:rPr>
              <w:t>4</w:t>
            </w:r>
          </w:p>
        </w:tc>
        <w:tc>
          <w:tcPr>
            <w:vAlign w:val="center"/>
          </w:tcPr>
          <w:p>
            <w:pPr>
              <w:jc w:val="center"/>
            </w:pPr>
            <w:r>
              <w:rPr>
                <w:color w:val="000000"/>
                <w:sz w:val="24"/>
                <w:szCs w:val="24"/>
              </w:rPr>
              <w:t>000661</w:t>
            </w:r>
          </w:p>
        </w:tc>
        <w:tc>
          <w:tcPr>
            <w:vAlign w:val="center"/>
          </w:tcPr>
          <w:p>
            <w:pPr>
              <w:jc w:val="center"/>
            </w:pPr>
            <w:r>
              <w:rPr>
                <w:color w:val="000000"/>
                <w:sz w:val="24"/>
                <w:szCs w:val="24"/>
              </w:rPr>
              <w:t>长春高新</w:t>
            </w:r>
          </w:p>
        </w:tc>
        <w:tc>
          <w:tcPr>
            <w:vAlign w:val="center"/>
          </w:tcPr>
          <w:p>
            <w:pPr>
              <w:jc w:val="right"/>
            </w:pPr>
            <w:r>
              <w:rPr>
                <w:color w:val="000000"/>
                <w:sz w:val="24"/>
                <w:szCs w:val="24"/>
              </w:rPr>
              <w:t>77,600</w:t>
            </w:r>
          </w:p>
        </w:tc>
        <w:tc>
          <w:tcPr>
            <w:vAlign w:val="center"/>
          </w:tcPr>
          <w:p>
            <w:pPr>
              <w:jc w:val="right"/>
            </w:pPr>
            <w:r>
              <w:rPr>
                <w:color w:val="000000"/>
                <w:sz w:val="24"/>
                <w:szCs w:val="24"/>
              </w:rPr>
              <w:t>30,602,336.00</w:t>
            </w:r>
          </w:p>
        </w:tc>
        <w:tc>
          <w:tcPr>
            <w:vAlign w:val="center"/>
          </w:tcPr>
          <w:p>
            <w:pPr>
              <w:jc w:val="right"/>
            </w:pPr>
            <w:r>
              <w:rPr>
                <w:color w:val="000000"/>
                <w:sz w:val="24"/>
                <w:szCs w:val="24"/>
              </w:rPr>
              <w:t>4.22</w:t>
            </w:r>
          </w:p>
        </w:tc>
      </w:tr>
      <w:tr>
        <w:tc>
          <w:tcPr>
            <w:vAlign w:val="center"/>
          </w:tcPr>
          <w:p>
            <w:pPr>
              <w:jc w:val="center"/>
            </w:pPr>
            <w:r>
              <w:rPr>
                <w:color w:val="000000"/>
                <w:sz w:val="24"/>
                <w:szCs w:val="24"/>
              </w:rPr>
              <w:t>5</w:t>
            </w:r>
          </w:p>
        </w:tc>
        <w:tc>
          <w:tcPr>
            <w:vAlign w:val="center"/>
          </w:tcPr>
          <w:p>
            <w:pPr>
              <w:jc w:val="center"/>
            </w:pPr>
            <w:r>
              <w:rPr>
                <w:color w:val="000000"/>
                <w:sz w:val="24"/>
                <w:szCs w:val="24"/>
              </w:rPr>
              <w:t>603160</w:t>
            </w:r>
          </w:p>
        </w:tc>
        <w:tc>
          <w:tcPr>
            <w:vAlign w:val="center"/>
          </w:tcPr>
          <w:p>
            <w:pPr>
              <w:jc w:val="center"/>
            </w:pPr>
            <w:r>
              <w:rPr>
                <w:color w:val="000000"/>
                <w:sz w:val="24"/>
                <w:szCs w:val="24"/>
              </w:rPr>
              <w:t>汇顶科技</w:t>
            </w:r>
          </w:p>
        </w:tc>
        <w:tc>
          <w:tcPr>
            <w:vAlign w:val="center"/>
          </w:tcPr>
          <w:p>
            <w:pPr>
              <w:jc w:val="right"/>
            </w:pPr>
            <w:r>
              <w:rPr>
                <w:color w:val="000000"/>
                <w:sz w:val="24"/>
                <w:szCs w:val="24"/>
              </w:rPr>
              <w:t>143,249</w:t>
            </w:r>
          </w:p>
        </w:tc>
        <w:tc>
          <w:tcPr>
            <w:vAlign w:val="center"/>
          </w:tcPr>
          <w:p>
            <w:pPr>
              <w:jc w:val="right"/>
            </w:pPr>
            <w:r>
              <w:rPr>
                <w:color w:val="000000"/>
                <w:sz w:val="24"/>
                <w:szCs w:val="24"/>
              </w:rPr>
              <w:t>29,136,846.60</w:t>
            </w:r>
          </w:p>
        </w:tc>
        <w:tc>
          <w:tcPr>
            <w:vAlign w:val="center"/>
          </w:tcPr>
          <w:p>
            <w:pPr>
              <w:jc w:val="right"/>
            </w:pPr>
            <w:r>
              <w:rPr>
                <w:color w:val="000000"/>
                <w:sz w:val="24"/>
                <w:szCs w:val="24"/>
              </w:rPr>
              <w:t>4.02</w:t>
            </w:r>
          </w:p>
        </w:tc>
      </w:tr>
      <w:tr>
        <w:tc>
          <w:tcPr>
            <w:vAlign w:val="center"/>
          </w:tcPr>
          <w:p>
            <w:pPr>
              <w:jc w:val="center"/>
            </w:pPr>
            <w:r>
              <w:rPr>
                <w:color w:val="000000"/>
                <w:sz w:val="24"/>
                <w:szCs w:val="24"/>
              </w:rPr>
              <w:t>6</w:t>
            </w:r>
          </w:p>
        </w:tc>
        <w:tc>
          <w:tcPr>
            <w:vAlign w:val="center"/>
          </w:tcPr>
          <w:p>
            <w:pPr>
              <w:jc w:val="center"/>
            </w:pPr>
            <w:r>
              <w:rPr>
                <w:color w:val="000000"/>
                <w:sz w:val="24"/>
                <w:szCs w:val="24"/>
              </w:rPr>
              <w:t>603986</w:t>
            </w:r>
          </w:p>
        </w:tc>
        <w:tc>
          <w:tcPr>
            <w:vAlign w:val="center"/>
          </w:tcPr>
          <w:p>
            <w:pPr>
              <w:jc w:val="center"/>
            </w:pPr>
            <w:r>
              <w:rPr>
                <w:color w:val="000000"/>
                <w:sz w:val="24"/>
                <w:szCs w:val="24"/>
              </w:rPr>
              <w:t>兆易创新</w:t>
            </w:r>
          </w:p>
        </w:tc>
        <w:tc>
          <w:tcPr>
            <w:vAlign w:val="center"/>
          </w:tcPr>
          <w:p>
            <w:pPr>
              <w:jc w:val="right"/>
            </w:pPr>
            <w:r>
              <w:rPr>
                <w:color w:val="000000"/>
                <w:sz w:val="24"/>
                <w:szCs w:val="24"/>
              </w:rPr>
              <w:t>200,395</w:t>
            </w:r>
          </w:p>
        </w:tc>
        <w:tc>
          <w:tcPr>
            <w:vAlign w:val="center"/>
          </w:tcPr>
          <w:p>
            <w:pPr>
              <w:jc w:val="right"/>
            </w:pPr>
            <w:r>
              <w:rPr>
                <w:color w:val="000000"/>
                <w:sz w:val="24"/>
                <w:szCs w:val="24"/>
              </w:rPr>
              <w:t>29,133,425.10</w:t>
            </w:r>
          </w:p>
        </w:tc>
        <w:tc>
          <w:tcPr>
            <w:vAlign w:val="center"/>
          </w:tcPr>
          <w:p>
            <w:pPr>
              <w:jc w:val="right"/>
            </w:pPr>
            <w:r>
              <w:rPr>
                <w:color w:val="000000"/>
                <w:sz w:val="24"/>
                <w:szCs w:val="24"/>
              </w:rPr>
              <w:t>4.02</w:t>
            </w:r>
          </w:p>
        </w:tc>
      </w:tr>
      <w:tr>
        <w:tc>
          <w:tcPr>
            <w:vAlign w:val="center"/>
          </w:tcPr>
          <w:p>
            <w:pPr>
              <w:jc w:val="center"/>
            </w:pPr>
            <w:r>
              <w:rPr>
                <w:color w:val="000000"/>
                <w:sz w:val="24"/>
                <w:szCs w:val="24"/>
              </w:rPr>
              <w:t>7</w:t>
            </w:r>
          </w:p>
        </w:tc>
        <w:tc>
          <w:tcPr>
            <w:vAlign w:val="center"/>
          </w:tcPr>
          <w:p>
            <w:pPr>
              <w:jc w:val="center"/>
            </w:pPr>
            <w:r>
              <w:rPr>
                <w:color w:val="000000"/>
                <w:sz w:val="24"/>
                <w:szCs w:val="24"/>
              </w:rPr>
              <w:t>000001</w:t>
            </w:r>
          </w:p>
        </w:tc>
        <w:tc>
          <w:tcPr>
            <w:vAlign w:val="center"/>
          </w:tcPr>
          <w:p>
            <w:pPr>
              <w:jc w:val="center"/>
            </w:pPr>
            <w:r>
              <w:rPr>
                <w:color w:val="000000"/>
                <w:sz w:val="24"/>
                <w:szCs w:val="24"/>
              </w:rPr>
              <w:t>平安银行</w:t>
            </w:r>
          </w:p>
        </w:tc>
        <w:tc>
          <w:tcPr>
            <w:vAlign w:val="center"/>
          </w:tcPr>
          <w:p>
            <w:pPr>
              <w:jc w:val="right"/>
            </w:pPr>
            <w:r>
              <w:rPr>
                <w:color w:val="000000"/>
                <w:sz w:val="24"/>
                <w:szCs w:val="24"/>
              </w:rPr>
              <w:t>1,857,000</w:t>
            </w:r>
          </w:p>
        </w:tc>
        <w:tc>
          <w:tcPr>
            <w:vAlign w:val="center"/>
          </w:tcPr>
          <w:p>
            <w:pPr>
              <w:jc w:val="right"/>
            </w:pPr>
            <w:r>
              <w:rPr>
                <w:color w:val="000000"/>
                <w:sz w:val="24"/>
                <w:szCs w:val="24"/>
              </w:rPr>
              <w:t>28,950,630.00</w:t>
            </w:r>
          </w:p>
        </w:tc>
        <w:tc>
          <w:tcPr>
            <w:vAlign w:val="center"/>
          </w:tcPr>
          <w:p>
            <w:pPr>
              <w:jc w:val="right"/>
            </w:pPr>
            <w:r>
              <w:rPr>
                <w:color w:val="000000"/>
                <w:sz w:val="24"/>
                <w:szCs w:val="24"/>
              </w:rPr>
              <w:t>3.99</w:t>
            </w:r>
          </w:p>
        </w:tc>
      </w:tr>
      <w:tr>
        <w:tc>
          <w:tcPr>
            <w:vAlign w:val="center"/>
          </w:tcPr>
          <w:p>
            <w:pPr>
              <w:jc w:val="center"/>
            </w:pPr>
            <w:r>
              <w:rPr>
                <w:color w:val="000000"/>
                <w:sz w:val="24"/>
                <w:szCs w:val="24"/>
              </w:rPr>
              <w:t>8</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1,562,500</w:t>
            </w:r>
          </w:p>
        </w:tc>
        <w:tc>
          <w:tcPr>
            <w:vAlign w:val="center"/>
          </w:tcPr>
          <w:p>
            <w:pPr>
              <w:jc w:val="right"/>
            </w:pPr>
            <w:r>
              <w:rPr>
                <w:color w:val="000000"/>
                <w:sz w:val="24"/>
                <w:szCs w:val="24"/>
              </w:rPr>
              <w:t>28,171,875.00</w:t>
            </w:r>
          </w:p>
        </w:tc>
        <w:tc>
          <w:tcPr>
            <w:vAlign w:val="center"/>
          </w:tcPr>
          <w:p>
            <w:pPr>
              <w:jc w:val="right"/>
            </w:pPr>
            <w:r>
              <w:rPr>
                <w:color w:val="000000"/>
                <w:sz w:val="24"/>
                <w:szCs w:val="24"/>
              </w:rPr>
              <w:t>3.88</w:t>
            </w:r>
          </w:p>
        </w:tc>
      </w:tr>
      <w:tr>
        <w:tc>
          <w:tcPr>
            <w:vAlign w:val="center"/>
          </w:tcPr>
          <w:p>
            <w:pPr>
              <w:jc w:val="center"/>
            </w:pPr>
            <w:r>
              <w:rPr>
                <w:color w:val="000000"/>
                <w:sz w:val="24"/>
                <w:szCs w:val="24"/>
              </w:rPr>
              <w:t>9</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982,531</w:t>
            </w:r>
          </w:p>
        </w:tc>
        <w:tc>
          <w:tcPr>
            <w:vAlign w:val="center"/>
          </w:tcPr>
          <w:p>
            <w:pPr>
              <w:jc w:val="right"/>
            </w:pPr>
            <w:r>
              <w:rPr>
                <w:color w:val="000000"/>
                <w:sz w:val="24"/>
                <w:szCs w:val="24"/>
              </w:rPr>
              <w:t>26,292,529.56</w:t>
            </w:r>
          </w:p>
        </w:tc>
        <w:tc>
          <w:tcPr>
            <w:vAlign w:val="center"/>
          </w:tcPr>
          <w:p>
            <w:pPr>
              <w:jc w:val="right"/>
            </w:pPr>
            <w:r>
              <w:rPr>
                <w:color w:val="000000"/>
                <w:sz w:val="24"/>
                <w:szCs w:val="24"/>
              </w:rPr>
              <w:t>3.63</w:t>
            </w:r>
          </w:p>
        </w:tc>
      </w:tr>
      <w:tr>
        <w:tc>
          <w:tcPr>
            <w:vAlign w:val="center"/>
          </w:tcPr>
          <w:p>
            <w:pPr>
              <w:jc w:val="center"/>
            </w:pPr>
            <w:r>
              <w:rPr>
                <w:color w:val="000000"/>
                <w:sz w:val="24"/>
                <w:szCs w:val="24"/>
              </w:rPr>
              <w:t>10</w:t>
            </w:r>
          </w:p>
        </w:tc>
        <w:tc>
          <w:tcPr>
            <w:vAlign w:val="center"/>
          </w:tcPr>
          <w:p>
            <w:pPr>
              <w:jc w:val="center"/>
            </w:pPr>
            <w:r>
              <w:rPr>
                <w:color w:val="000000"/>
                <w:sz w:val="24"/>
                <w:szCs w:val="24"/>
              </w:rPr>
              <w:t>600216</w:t>
            </w:r>
          </w:p>
        </w:tc>
        <w:tc>
          <w:tcPr>
            <w:vAlign w:val="center"/>
          </w:tcPr>
          <w:p>
            <w:pPr>
              <w:jc w:val="center"/>
            </w:pPr>
            <w:r>
              <w:rPr>
                <w:color w:val="000000"/>
                <w:sz w:val="24"/>
                <w:szCs w:val="24"/>
              </w:rPr>
              <w:t>浙江医药</w:t>
            </w:r>
          </w:p>
        </w:tc>
        <w:tc>
          <w:tcPr>
            <w:vAlign w:val="center"/>
          </w:tcPr>
          <w:p>
            <w:pPr>
              <w:jc w:val="right"/>
            </w:pPr>
            <w:r>
              <w:rPr>
                <w:color w:val="000000"/>
                <w:sz w:val="24"/>
                <w:szCs w:val="24"/>
              </w:rPr>
              <w:t>2,211,700</w:t>
            </w:r>
          </w:p>
        </w:tc>
        <w:tc>
          <w:tcPr>
            <w:vAlign w:val="center"/>
          </w:tcPr>
          <w:p>
            <w:pPr>
              <w:jc w:val="right"/>
            </w:pPr>
            <w:r>
              <w:rPr>
                <w:color w:val="000000"/>
                <w:sz w:val="24"/>
                <w:szCs w:val="24"/>
              </w:rPr>
              <w:t>25,323,965.00</w:t>
            </w:r>
          </w:p>
        </w:tc>
        <w:tc>
          <w:tcPr>
            <w:vAlign w:val="center"/>
          </w:tcPr>
          <w:p>
            <w:pPr>
              <w:jc w:val="right"/>
            </w:pPr>
            <w:r>
              <w:rPr>
                <w:color w:val="000000"/>
                <w:sz w:val="24"/>
                <w:szCs w:val="24"/>
              </w:rPr>
              <w:t>3.49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19,998,000.00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2.76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19,994,000.00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2.76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19,994,000.00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2.76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39,992,000.00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5.51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019611</w:t>
            </w:r>
          </w:p>
        </w:tc>
        <w:tc>
          <w:tcPr>
            <w:vAlign w:val="center"/>
          </w:tcPr>
          <w:p>
            <w:pPr>
              <w:jc w:val="center"/>
            </w:pPr>
            <w:r>
              <w:rPr>
                <w:color w:val="000000"/>
                <w:sz w:val="24"/>
                <w:szCs w:val="24"/>
              </w:rPr>
              <w:t>19国债01</w:t>
            </w:r>
          </w:p>
        </w:tc>
        <w:tc>
          <w:tcPr>
            <w:vAlign w:val="center"/>
          </w:tcPr>
          <w:p>
            <w:pPr>
              <w:jc w:val="right"/>
            </w:pPr>
            <w:r>
              <w:rPr>
                <w:color w:val="000000"/>
                <w:sz w:val="24"/>
                <w:szCs w:val="24"/>
              </w:rPr>
              <w:t>200,000</w:t>
            </w:r>
          </w:p>
        </w:tc>
        <w:tc>
          <w:tcPr>
            <w:vAlign w:val="center"/>
          </w:tcPr>
          <w:p>
            <w:pPr>
              <w:jc w:val="right"/>
            </w:pPr>
            <w:r>
              <w:rPr>
                <w:color w:val="000000"/>
                <w:sz w:val="24"/>
                <w:szCs w:val="24"/>
              </w:rPr>
              <w:t>19,998,000.00</w:t>
            </w:r>
          </w:p>
        </w:tc>
        <w:tc>
          <w:tcPr>
            <w:vAlign w:val="center"/>
          </w:tcPr>
          <w:p>
            <w:pPr>
              <w:jc w:val="right"/>
            </w:pPr>
            <w:r>
              <w:rPr>
                <w:color w:val="000000"/>
                <w:sz w:val="24"/>
                <w:szCs w:val="24"/>
              </w:rPr>
              <w:t>2.76</w:t>
            </w:r>
          </w:p>
        </w:tc>
      </w:tr>
      <w:tr>
        <w:tc>
          <w:tcPr>
            <w:vAlign w:val="center"/>
          </w:tcPr>
          <w:p>
            <w:pPr>
              <w:jc w:val="center"/>
            </w:pPr>
            <w:r>
              <w:rPr>
                <w:color w:val="000000"/>
                <w:sz w:val="24"/>
                <w:szCs w:val="24"/>
              </w:rPr>
              <w:t>2</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200,000</w:t>
            </w:r>
          </w:p>
        </w:tc>
        <w:tc>
          <w:tcPr>
            <w:vAlign w:val="center"/>
          </w:tcPr>
          <w:p>
            <w:pPr>
              <w:jc w:val="right"/>
            </w:pPr>
            <w:r>
              <w:rPr>
                <w:color w:val="000000"/>
                <w:sz w:val="24"/>
                <w:szCs w:val="24"/>
              </w:rPr>
              <w:t>19,994,000.00</w:t>
            </w:r>
          </w:p>
        </w:tc>
        <w:tc>
          <w:tcPr>
            <w:vAlign w:val="center"/>
          </w:tcPr>
          <w:p>
            <w:pPr>
              <w:jc w:val="right"/>
            </w:pPr>
            <w:r>
              <w:rPr>
                <w:color w:val="000000"/>
                <w:sz w:val="24"/>
                <w:szCs w:val="24"/>
              </w:rPr>
              <w:t>2.76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624,774.78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2,079,599.11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575,877.77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2,051,954.71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5,332,206.37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857,217,813.22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171,314,174.24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345,400,256.72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683,131,730.74</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1、中国证监会准予交银施罗德数据产业灵活配置混合型证券投资基金募集注册的文件；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2、《交银施罗德数据产业灵活配置混合型证券投资基金基金合同》；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3、《交银施罗德数据产业灵活配置混合型证券投资基金招募说明书》；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4、《交银施罗德数据产业灵活配置混合型证券投资基金托管协议》；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5、关于申请募集注册交银施罗德数据产业灵活配置混合型证券投资基金的法律意见书；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8、报告期内交银施罗德数据产业灵活配置混合型证券投资基金在指定报刊上各项公告的原稿。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交银施罗德数据产业灵活配置混合型证券投资基金2019年第3季度报告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