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交银施罗德裕利纯债债券型证券投资基金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2019年第3季度报告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2019年9月30日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中国建设银行股份有限公司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二〇一九年十月二十二日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基金托管人中国建设银行股份有限公司根据本基金合同规定，于2019年10月21日复核了本报告中的财务指标、净值表现和投资组合报告等内容，保证复核内容不存在虚假记载、误导性陈述或者重大遗漏。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本报告期自2019年7月1日起至9月30日止。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交银裕利纯债债券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519786</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2016年11月23日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3,382,840,597.64</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本基金在严格控制风险和保持资产流动性的基础上，通过积极主动的投资管理，力争持续稳定地实现超越业绩比较基准的投资回报。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本基金是一只债券型基金，其风险与预期收益高于货币市场基金，低于混合型基金和股票型基金，属于证券投资基金中中低风险的品种。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交银裕利纯债债券A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交银裕利纯债债券C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519786</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519787</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3,382,770,076.65</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70,520.99</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(2019年7月1日-2019年9月30日)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交银裕利纯债债券A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交银裕利纯债债券C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40,579,000.85</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647.44</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35,589,785.93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485.52</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0.0105</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0.0097</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3,557,202,872.62</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78,373.94</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1.0516</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1.1114</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注：1、上述基金业绩指标不包括持有人认购或交易基金的各项费用，计入费用后的实际收益水平要低于所列数字；</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交银裕利纯债债券A</w:t>
      </w:r>
      <w:r w:rsidRPr="007F52FA">
        <w:rPr>
          <w:b/>
          <w:sz w:val="24"/>
        </w:rPr>
        <w:t>：</w:t>
      </w:r>
    </w:p>
    <w:tbl>
      <w:tblPr>
        <w:tblStyle w:val="af6"/>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1.02%</w:t>
            </w:r>
          </w:p>
        </w:tc>
        <w:tc>
          <w:tcPr>
            <w:vAlign w:val="center"/>
          </w:tcPr>
          <w:p>
            <w:pPr>
              <w:jc w:val="center"/>
            </w:pPr>
            <w:r>
              <w:rPr>
                <w:color w:val="000000"/>
                <w:sz w:val="24"/>
              </w:rPr>
              <w:t>0.02%</w:t>
            </w:r>
          </w:p>
        </w:tc>
        <w:tc>
          <w:tcPr>
            <w:vAlign w:val="center"/>
          </w:tcPr>
          <w:p>
            <w:pPr>
              <w:jc w:val="center"/>
            </w:pPr>
            <w:r>
              <w:rPr>
                <w:color w:val="000000"/>
                <w:sz w:val="24"/>
              </w:rPr>
              <w:t>0.45%</w:t>
            </w:r>
          </w:p>
        </w:tc>
        <w:tc>
          <w:tcPr>
            <w:vAlign w:val="center"/>
          </w:tcPr>
          <w:p>
            <w:pPr>
              <w:jc w:val="center"/>
            </w:pPr>
            <w:r>
              <w:rPr>
                <w:color w:val="000000"/>
                <w:sz w:val="24"/>
              </w:rPr>
              <w:t>0.04%</w:t>
            </w:r>
          </w:p>
        </w:tc>
        <w:tc>
          <w:tcPr>
            <w:vAlign w:val="center"/>
          </w:tcPr>
          <w:p>
            <w:pPr>
              <w:jc w:val="center"/>
            </w:pPr>
            <w:r>
              <w:rPr>
                <w:color w:val="000000"/>
                <w:sz w:val="24"/>
              </w:rPr>
              <w:t>0.57%</w:t>
            </w:r>
          </w:p>
        </w:tc>
        <w:tc>
          <w:tcPr>
            <w:vAlign w:val="center"/>
          </w:tcPr>
          <w:p>
            <w:pPr>
              <w:jc w:val="center"/>
            </w:pPr>
            <w:r>
              <w:rPr>
                <w:color w:val="000000"/>
                <w:sz w:val="24"/>
              </w:rPr>
              <w:t>-0.02%</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交银裕利纯债债券C</w:t>
      </w:r>
      <w:r w:rsidRPr="007F52FA">
        <w:rPr>
          <w:b/>
          <w:color w:val="000000"/>
          <w:kern w:val="0"/>
          <w:sz w:val="24"/>
        </w:rPr>
        <w:t>：</w:t>
      </w:r>
    </w:p>
    <w:tbl>
      <w:tblPr>
        <w:tblStyle w:val="af6"/>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1.00%</w:t>
            </w:r>
          </w:p>
        </w:tc>
        <w:tc>
          <w:tcPr>
            <w:vAlign w:val="center"/>
          </w:tcPr>
          <w:p>
            <w:pPr>
              <w:jc w:val="center"/>
            </w:pPr>
            <w:r>
              <w:rPr>
                <w:color w:val="000000"/>
                <w:sz w:val="24"/>
              </w:rPr>
              <w:t>0.02%</w:t>
            </w:r>
          </w:p>
        </w:tc>
        <w:tc>
          <w:tcPr>
            <w:vAlign w:val="center"/>
          </w:tcPr>
          <w:p>
            <w:pPr>
              <w:jc w:val="center"/>
            </w:pPr>
            <w:r>
              <w:rPr>
                <w:color w:val="000000"/>
                <w:sz w:val="24"/>
              </w:rPr>
              <w:t>0.45%</w:t>
            </w:r>
          </w:p>
        </w:tc>
        <w:tc>
          <w:tcPr>
            <w:vAlign w:val="center"/>
          </w:tcPr>
          <w:p>
            <w:pPr>
              <w:jc w:val="center"/>
            </w:pPr>
            <w:r>
              <w:rPr>
                <w:color w:val="000000"/>
                <w:sz w:val="24"/>
              </w:rPr>
              <w:t>0.04%</w:t>
            </w:r>
          </w:p>
        </w:tc>
        <w:tc>
          <w:tcPr>
            <w:vAlign w:val="center"/>
          </w:tcPr>
          <w:p>
            <w:pPr>
              <w:jc w:val="center"/>
            </w:pPr>
            <w:r>
              <w:rPr>
                <w:color w:val="000000"/>
                <w:sz w:val="24"/>
              </w:rPr>
              <w:t>0.55%</w:t>
            </w:r>
          </w:p>
        </w:tc>
        <w:tc>
          <w:tcPr>
            <w:vAlign w:val="center"/>
          </w:tcPr>
          <w:p>
            <w:pPr>
              <w:jc w:val="center"/>
            </w:pPr>
            <w:r>
              <w:rPr>
                <w:color w:val="000000"/>
                <w:sz w:val="24"/>
              </w:rPr>
              <w:t>-0.02%</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交银施罗德裕利纯债债券型证券投资基金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2016年11月23日</w:t>
      </w:r>
      <w:r w:rsidR="009A045B" w:rsidRPr="007F52FA">
        <w:rPr>
          <w:rFonts w:ascii="Times New Roman" w:hAnsi="Times New Roman"/>
          <w:sz w:val="24"/>
          <w:szCs w:val="24"/>
        </w:rPr>
        <w:t>至</w:t>
      </w:r>
      <w:r w:rsidRPr="007F52FA">
        <w:rPr>
          <w:rFonts w:ascii="Times New Roman" w:hAnsi="Times New Roman"/>
          <w:sz w:val="24"/>
          <w:szCs w:val="24"/>
        </w:rPr>
        <w:t>2019年9月30日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交银裕利纯债债券A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交银裕利纯债债券C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连端清</w:t>
            </w:r>
          </w:p>
        </w:tc>
        <w:tc>
          <w:tcPr>
            <w:vAlign w:val="center"/>
          </w:tcPr>
          <w:p>
            <w:pPr>
              <w:jc w:val="center"/>
            </w:pPr>
            <w:r>
              <w:rPr>
                <w:color w:val="000000"/>
                <w:sz w:val="24"/>
              </w:rPr>
              <w:t>交银理财60天债券、交银丰盈收益债券、交银丰润收益债券、交银活期通货币、交银裕盈纯债债券、交银裕利纯债债券的基金经理</w:t>
            </w:r>
          </w:p>
        </w:tc>
        <w:tc>
          <w:tcPr>
            <w:vAlign w:val="center"/>
          </w:tcPr>
          <w:p>
            <w:pPr>
              <w:jc w:val="center"/>
            </w:pPr>
            <w:r>
              <w:rPr>
                <w:color w:val="000000"/>
                <w:sz w:val="24"/>
              </w:rPr>
              <w:t>2017-03-31</w:t>
            </w:r>
          </w:p>
        </w:tc>
        <w:tc>
          <w:tcPr>
            <w:vAlign w:val="center"/>
          </w:tcPr>
          <w:p>
            <w:pPr>
              <w:jc w:val="center"/>
            </w:pPr>
            <w:r>
              <w:rPr>
                <w:color w:val="000000"/>
                <w:sz w:val="24"/>
              </w:rPr>
              <w:t>-</w:t>
            </w:r>
          </w:p>
        </w:tc>
        <w:tc>
          <w:tcPr>
            <w:vAlign w:val="center"/>
          </w:tcPr>
          <w:p>
            <w:pPr>
              <w:jc w:val="center"/>
            </w:pPr>
            <w:r>
              <w:rPr>
                <w:color w:val="000000"/>
                <w:sz w:val="24"/>
              </w:rPr>
              <w:t>6年</w:t>
            </w:r>
          </w:p>
        </w:tc>
        <w:tc>
          <w:tcPr>
            <w:vAlign w:val="center"/>
          </w:tcPr>
          <w:p>
            <w:pPr>
              <w:jc w:val="both"/>
            </w:pPr>
            <w:r>
              <w:rPr>
                <w:color w:val="000000"/>
                <w:sz w:val="24"/>
              </w:rPr>
              <w:t>连端清先生，复旦大学经济学博士。历任交通银行总行金融市场部、湘财证券研究所研究员、中航信托资产管理部投资经理。2015年加入交银施罗德基金管理有限公司。2017年3月31日至2018年8月23日担任交银施罗德裕兴纯债债券型证券投资基金的基金经理。2015年8月4日至2019年8月2日担任交银施罗德现金宝货币市场基金的基金经理。2015年10月16日至2019年8月2日担任交银施罗德货币市场证券投资基金的基金经理。2016年12月7日至2019年8月2日担任交银施罗德天鑫宝货币市场基金的基金经理。2017年12月29日至2019年8月2日担任交银施罗德天运宝货币市场基金的基金经理。2016年10月19日至2019年9月29日担任交银施罗德天利宝货币市场基金的基金经理。2016年11月28日至2019年9月29日担任交银施罗德裕隆纯债债券型证券投资基金的基金经理。2016年12月20日至2019年9月29日担任交银施罗德天益宝货币市场基金的基金经理。2017年3月3日至2019年9月29日担任交银施罗德境尚收益债券型证券投资基金的基金经理。</w:t>
            </w:r>
          </w:p>
        </w:tc>
      </w:tr>
    </w:tbl>
    <w:p>
      <w:pPr>
        <w:autoSpaceDE w:val="0"/>
        <w:autoSpaceDN w:val="0"/>
        <w:adjustRightInd w:val="0"/>
        <w:spacing w:before="29" w:line="288" w:lineRule="auto"/>
        <w:jc w:val="left"/>
        <w:rPr>
          <w:color w:val="000000"/>
          <w:sz w:val="24"/>
        </w:rPr>
      </w:pPr>
      <w:r>
        <w:rPr>
          <w:color w:val="000000"/>
          <w:sz w:val="24"/>
        </w:rPr>
        <w:t>注：1、本表所列基金经理（助理）任职日期和离职日期均以基金合同生效日或公司作出决定并公告(如适用)之日为准；</w:t>
      </w:r>
    </w:p>
    <w:p>
      <w:pPr>
        <w:autoSpaceDE w:val="0"/>
        <w:autoSpaceDN w:val="0"/>
        <w:adjustRightInd w:val="0"/>
        <w:spacing w:before="29" w:line="288" w:lineRule="auto"/>
        <w:jc w:val="left"/>
        <w:rPr>
          <w:color w:val="000000"/>
          <w:sz w:val="24"/>
        </w:rPr>
      </w:pPr>
      <w:r>
        <w:rPr>
          <w:color w:val="000000"/>
          <w:sz w:val="24"/>
        </w:rPr>
        <w:t xml:space="preserve">2、本表所列基金经理（助理）证券从业年限中的“证券从业”的含义遵从中国证券业协会《证券业从业人员资格管理办法》的相关规定； </w:t>
      </w:r>
    </w:p>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3、基金经理（或基金经理小组）期后变动（如有）敬请关注基金管理人发布的相关公告。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2019年三季度，国内经济继续放缓。受中美贸易战硝烟再起及美欧等发达经济体衰退预期加强等影响，三季度中采制造业PMI依然在荣枯线以下。三季度尽管基建投资略有回升，但是受制造业FAI持续下行且房地产FAI高位下行影响，FAI同比增速继续下行承压。受汽车销售降幅扩大等影响，7-8月社会消费品零售同比增速降至低位。7-8月PPI同比在三年后再次步入负增长状态，但是受猪肉与鲜果等大幅上涨推动，CPI持续攀升。三季度中美贸易战曾一度升级，但九月有所缓和。货币政策上，受经济下行与中美贸易战不确定性等影响，央行加强逆周期调节力度， 九月上旬宣布全面降准0.5个百分点且定向降准1个百分点，努力疏通货币传导机制，八月人行宣布改革完善贷款市场报价利率（LPR）形成机制。</w:t>
      </w:r>
    </w:p>
    <w:p>
      <w:pPr>
        <w:spacing w:before="29" w:line="288" w:lineRule="auto"/>
        <w:ind w:firstLine="480" w:firstLineChars="200"/>
        <w:rPr>
          <w:color w:val="000000"/>
          <w:sz w:val="24"/>
        </w:rPr>
      </w:pPr>
      <w:r>
        <w:rPr>
          <w:color w:val="000000"/>
          <w:sz w:val="24"/>
        </w:rPr>
        <w:t>资金面上，三季度央行加强了公开市场回笼力度，维护货币市场资金面稳定，银行间货币市场资金面除九月中下旬有些趋紧之外，大部分交易日保持相对宽松格局，但三季度货币市场资金价格较二季度显著上涨。三季度存单与存款收益率中枢继续下移。三季度债市处于先上涨后回调的震荡格局，受经济下行预期增强及中美贸易战不确定性上升等影响，七月至八月中旬债市一路上涨，但随后货币政策宽松不及市场预期，八月中下旬开始债市进入回调状态。</w:t>
      </w:r>
    </w:p>
    <w:p>
      <w:pPr>
        <w:spacing w:before="29" w:line="288" w:lineRule="auto"/>
        <w:ind w:firstLine="480" w:firstLineChars="200"/>
        <w:rPr>
          <w:color w:val="000000"/>
          <w:sz w:val="24"/>
        </w:rPr>
      </w:pPr>
      <w:r>
        <w:rPr>
          <w:color w:val="000000"/>
          <w:sz w:val="24"/>
        </w:rPr>
        <w:t>基金操作方面，报告期内本基金把握市场走势，择机调整组合杠杆与久期，动态调整持仓债券，管控信用风险，为持有人创造稳健的回报。</w:t>
      </w:r>
    </w:p>
    <w:p w:rsidP="007C14DF" w:rsidR="00952A72" w:rsidRDefault="00323F25" w:rsidRPr="007F52FA">
      <w:pPr>
        <w:spacing w:before="29" w:line="288" w:lineRule="auto"/>
        <w:ind w:firstLine="480" w:firstLineChars="200"/>
        <w:rPr>
          <w:color w:val="000000"/>
          <w:sz w:val="24"/>
        </w:rPr>
      </w:pPr>
      <w:r w:rsidRPr="007F52FA">
        <w:rPr>
          <w:color w:val="000000"/>
          <w:sz w:val="24"/>
        </w:rPr>
        <w:t>展望2019年四季度，国内经济继续放缓风险依然存在，但是考虑稳增长与逆周期调节政策的逐步推进等因素，边际放缓幅度可能趋于收敛。我们推测短期内人行货币政策将维持中性偏松，保持逆周期调节作用。我们将密切关注中美贸易谈判的进展以及中央经济政策动态。组合管理方面，本基金将紧密跟踪研判宏观经济走势与央行货币政策操作，管控风险，积极跟踪把握市场机会，努力为投资者创造稳健的回报。</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本基金本报告期内连续二十个工作日以上出现基金份额持有人数量不满200人的情形，截至本报告期末，本基金基金份额持有人数量仍不满200人。</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6"/>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4,490,700,000.00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98.77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4,326,049,000.00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95.15</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164,651,000.00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3.62</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981,274.38</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0.02</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54,769,212.23</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1.20</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4,546,450,486.61</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2,199,701,000.00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61.84</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576,026,000.00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16.19</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395,804,000.00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11.13</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270,486,000.00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7.60</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1,169,058,000.00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32.86</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291,000,000.00</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8.18</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4,326,049,000.00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121.61</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6"/>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110207</w:t>
            </w:r>
          </w:p>
        </w:tc>
        <w:tc>
          <w:tcPr>
            <w:vAlign w:val="center"/>
          </w:tcPr>
          <w:p>
            <w:pPr>
              <w:jc w:val="center"/>
            </w:pPr>
            <w:r>
              <w:rPr>
                <w:color w:val="000000"/>
                <w:sz w:val="24"/>
              </w:rPr>
              <w:t>11国开07</w:t>
            </w:r>
          </w:p>
        </w:tc>
        <w:tc>
          <w:tcPr>
            <w:vAlign w:val="center"/>
          </w:tcPr>
          <w:p>
            <w:pPr>
              <w:jc w:val="right"/>
            </w:pPr>
            <w:r>
              <w:rPr>
                <w:color w:val="000000"/>
                <w:sz w:val="24"/>
              </w:rPr>
              <w:t>4,000,000</w:t>
            </w:r>
          </w:p>
        </w:tc>
        <w:tc>
          <w:tcPr>
            <w:vAlign w:val="center"/>
          </w:tcPr>
          <w:p>
            <w:pPr>
              <w:jc w:val="right"/>
            </w:pPr>
            <w:r>
              <w:rPr>
                <w:color w:val="000000"/>
                <w:sz w:val="24"/>
              </w:rPr>
              <w:t>396,200,000.00</w:t>
            </w:r>
          </w:p>
        </w:tc>
        <w:tc>
          <w:tcPr>
            <w:vAlign w:val="center"/>
          </w:tcPr>
          <w:p>
            <w:pPr>
              <w:jc w:val="right"/>
            </w:pPr>
            <w:r>
              <w:rPr>
                <w:color w:val="000000"/>
                <w:sz w:val="24"/>
              </w:rPr>
              <w:t>11.14</w:t>
            </w:r>
          </w:p>
        </w:tc>
      </w:tr>
      <w:tr>
        <w:tc>
          <w:tcPr>
            <w:vAlign w:val="center"/>
          </w:tcPr>
          <w:p>
            <w:pPr>
              <w:jc w:val="center"/>
            </w:pPr>
            <w:r>
              <w:rPr>
                <w:color w:val="000000"/>
                <w:sz w:val="24"/>
              </w:rPr>
              <w:t>2</w:t>
            </w:r>
          </w:p>
        </w:tc>
        <w:tc>
          <w:tcPr>
            <w:vAlign w:val="center"/>
          </w:tcPr>
          <w:p>
            <w:pPr>
              <w:jc w:val="center"/>
            </w:pPr>
            <w:r>
              <w:rPr>
                <w:color w:val="000000"/>
                <w:sz w:val="24"/>
              </w:rPr>
              <w:t>1828019</w:t>
            </w:r>
          </w:p>
        </w:tc>
        <w:tc>
          <w:tcPr>
            <w:vAlign w:val="center"/>
          </w:tcPr>
          <w:p>
            <w:pPr>
              <w:jc w:val="center"/>
            </w:pPr>
            <w:r>
              <w:rPr>
                <w:color w:val="000000"/>
                <w:sz w:val="24"/>
              </w:rPr>
              <w:t>18平安银行01</w:t>
            </w:r>
          </w:p>
        </w:tc>
        <w:tc>
          <w:tcPr>
            <w:vAlign w:val="center"/>
          </w:tcPr>
          <w:p>
            <w:pPr>
              <w:jc w:val="right"/>
            </w:pPr>
            <w:r>
              <w:rPr>
                <w:color w:val="000000"/>
                <w:sz w:val="24"/>
              </w:rPr>
              <w:t>3,000,000</w:t>
            </w:r>
          </w:p>
        </w:tc>
        <w:tc>
          <w:tcPr>
            <w:vAlign w:val="center"/>
          </w:tcPr>
          <w:p>
            <w:pPr>
              <w:jc w:val="right"/>
            </w:pPr>
            <w:r>
              <w:rPr>
                <w:color w:val="000000"/>
                <w:sz w:val="24"/>
              </w:rPr>
              <w:t>304,620,000.00</w:t>
            </w:r>
          </w:p>
        </w:tc>
        <w:tc>
          <w:tcPr>
            <w:vAlign w:val="center"/>
          </w:tcPr>
          <w:p>
            <w:pPr>
              <w:jc w:val="right"/>
            </w:pPr>
            <w:r>
              <w:rPr>
                <w:color w:val="000000"/>
                <w:sz w:val="24"/>
              </w:rPr>
              <w:t>8.56</w:t>
            </w:r>
          </w:p>
        </w:tc>
      </w:tr>
      <w:tr>
        <w:tc>
          <w:tcPr>
            <w:vAlign w:val="center"/>
          </w:tcPr>
          <w:p>
            <w:pPr>
              <w:jc w:val="center"/>
            </w:pPr>
            <w:r>
              <w:rPr>
                <w:color w:val="000000"/>
                <w:sz w:val="24"/>
              </w:rPr>
              <w:t>3</w:t>
            </w:r>
          </w:p>
        </w:tc>
        <w:tc>
          <w:tcPr>
            <w:vAlign w:val="center"/>
          </w:tcPr>
          <w:p>
            <w:pPr>
              <w:jc w:val="center"/>
            </w:pPr>
            <w:r>
              <w:rPr>
                <w:color w:val="000000"/>
                <w:sz w:val="24"/>
              </w:rPr>
              <w:t>1728015</w:t>
            </w:r>
          </w:p>
        </w:tc>
        <w:tc>
          <w:tcPr>
            <w:vAlign w:val="center"/>
          </w:tcPr>
          <w:p>
            <w:pPr>
              <w:jc w:val="center"/>
            </w:pPr>
            <w:r>
              <w:rPr>
                <w:color w:val="000000"/>
                <w:sz w:val="24"/>
              </w:rPr>
              <w:t>17招商银行02</w:t>
            </w:r>
          </w:p>
        </w:tc>
        <w:tc>
          <w:tcPr>
            <w:vAlign w:val="center"/>
          </w:tcPr>
          <w:p>
            <w:pPr>
              <w:jc w:val="right"/>
            </w:pPr>
            <w:r>
              <w:rPr>
                <w:color w:val="000000"/>
                <w:sz w:val="24"/>
              </w:rPr>
              <w:t>3,000,000</w:t>
            </w:r>
          </w:p>
        </w:tc>
        <w:tc>
          <w:tcPr>
            <w:vAlign w:val="center"/>
          </w:tcPr>
          <w:p>
            <w:pPr>
              <w:jc w:val="right"/>
            </w:pPr>
            <w:r>
              <w:rPr>
                <w:color w:val="000000"/>
                <w:sz w:val="24"/>
              </w:rPr>
              <w:t>303,570,000.00</w:t>
            </w:r>
          </w:p>
        </w:tc>
        <w:tc>
          <w:tcPr>
            <w:vAlign w:val="center"/>
          </w:tcPr>
          <w:p>
            <w:pPr>
              <w:jc w:val="right"/>
            </w:pPr>
            <w:r>
              <w:rPr>
                <w:color w:val="000000"/>
                <w:sz w:val="24"/>
              </w:rPr>
              <w:t>8.53</w:t>
            </w:r>
          </w:p>
        </w:tc>
      </w:tr>
      <w:tr>
        <w:tc>
          <w:tcPr>
            <w:vAlign w:val="center"/>
          </w:tcPr>
          <w:p>
            <w:pPr>
              <w:jc w:val="center"/>
            </w:pPr>
            <w:r>
              <w:rPr>
                <w:color w:val="000000"/>
                <w:sz w:val="24"/>
              </w:rPr>
              <w:t>4</w:t>
            </w:r>
          </w:p>
        </w:tc>
        <w:tc>
          <w:tcPr>
            <w:vAlign w:val="center"/>
          </w:tcPr>
          <w:p>
            <w:pPr>
              <w:jc w:val="center"/>
            </w:pPr>
            <w:r>
              <w:rPr>
                <w:color w:val="000000"/>
                <w:sz w:val="24"/>
              </w:rPr>
              <w:t>111913008</w:t>
            </w:r>
          </w:p>
        </w:tc>
        <w:tc>
          <w:tcPr>
            <w:vAlign w:val="center"/>
          </w:tcPr>
          <w:p>
            <w:pPr>
              <w:jc w:val="center"/>
            </w:pPr>
            <w:r>
              <w:rPr>
                <w:color w:val="000000"/>
                <w:sz w:val="24"/>
              </w:rPr>
              <w:t>19浙商银行CD008</w:t>
            </w:r>
          </w:p>
        </w:tc>
        <w:tc>
          <w:tcPr>
            <w:vAlign w:val="center"/>
          </w:tcPr>
          <w:p>
            <w:pPr>
              <w:jc w:val="right"/>
            </w:pPr>
            <w:r>
              <w:rPr>
                <w:color w:val="000000"/>
                <w:sz w:val="24"/>
              </w:rPr>
              <w:t>3,000,000</w:t>
            </w:r>
          </w:p>
        </w:tc>
        <w:tc>
          <w:tcPr>
            <w:vAlign w:val="center"/>
          </w:tcPr>
          <w:p>
            <w:pPr>
              <w:jc w:val="right"/>
            </w:pPr>
            <w:r>
              <w:rPr>
                <w:color w:val="000000"/>
                <w:sz w:val="24"/>
              </w:rPr>
              <w:t>291,000,000.00</w:t>
            </w:r>
          </w:p>
        </w:tc>
        <w:tc>
          <w:tcPr>
            <w:vAlign w:val="center"/>
          </w:tcPr>
          <w:p>
            <w:pPr>
              <w:jc w:val="right"/>
            </w:pPr>
            <w:r>
              <w:rPr>
                <w:color w:val="000000"/>
                <w:sz w:val="24"/>
              </w:rPr>
              <w:t>8.18</w:t>
            </w:r>
          </w:p>
        </w:tc>
      </w:tr>
      <w:tr>
        <w:tc>
          <w:tcPr>
            <w:vAlign w:val="center"/>
          </w:tcPr>
          <w:p>
            <w:pPr>
              <w:jc w:val="center"/>
            </w:pPr>
            <w:r>
              <w:rPr>
                <w:color w:val="000000"/>
                <w:sz w:val="24"/>
              </w:rPr>
              <w:t>5</w:t>
            </w:r>
          </w:p>
        </w:tc>
        <w:tc>
          <w:tcPr>
            <w:vAlign w:val="center"/>
          </w:tcPr>
          <w:p>
            <w:pPr>
              <w:jc w:val="center"/>
            </w:pPr>
            <w:r>
              <w:rPr>
                <w:color w:val="000000"/>
                <w:sz w:val="24"/>
              </w:rPr>
              <w:t>1828001</w:t>
            </w:r>
          </w:p>
        </w:tc>
        <w:tc>
          <w:tcPr>
            <w:vAlign w:val="center"/>
          </w:tcPr>
          <w:p>
            <w:pPr>
              <w:jc w:val="center"/>
            </w:pPr>
            <w:r>
              <w:rPr>
                <w:color w:val="000000"/>
                <w:sz w:val="24"/>
              </w:rPr>
              <w:t>18华夏银行01</w:t>
            </w:r>
          </w:p>
        </w:tc>
        <w:tc>
          <w:tcPr>
            <w:vAlign w:val="center"/>
          </w:tcPr>
          <w:p>
            <w:pPr>
              <w:jc w:val="right"/>
            </w:pPr>
            <w:r>
              <w:rPr>
                <w:color w:val="000000"/>
                <w:sz w:val="24"/>
              </w:rPr>
              <w:t>2,500,000</w:t>
            </w:r>
          </w:p>
        </w:tc>
        <w:tc>
          <w:tcPr>
            <w:vAlign w:val="center"/>
          </w:tcPr>
          <w:p>
            <w:pPr>
              <w:jc w:val="right"/>
            </w:pPr>
            <w:r>
              <w:rPr>
                <w:color w:val="000000"/>
                <w:sz w:val="24"/>
              </w:rPr>
              <w:t>255,125,000.00</w:t>
            </w:r>
          </w:p>
        </w:tc>
        <w:tc>
          <w:tcPr>
            <w:vAlign w:val="center"/>
          </w:tcPr>
          <w:p>
            <w:pPr>
              <w:jc w:val="right"/>
            </w:pPr>
            <w:r>
              <w:rPr>
                <w:color w:val="000000"/>
                <w:sz w:val="24"/>
              </w:rPr>
              <w:t>7.17</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085115" w:rsidR="00085115" w:rsidRDefault="00085115" w:rsidRPr="00085115">
      <w:pPr>
        <w:autoSpaceDE w:val="0"/>
        <w:autoSpaceDN w:val="0"/>
        <w:adjustRightInd w:val="0"/>
        <w:spacing w:before="29" w:line="288" w:lineRule="auto"/>
        <w:jc w:val="right"/>
        <w:rPr>
          <w:color w:val="000000"/>
          <w:kern w:val="0"/>
          <w:sz w:val="24"/>
        </w:rPr>
      </w:pPr>
      <w:r w:rsidRPr="00085115">
        <w:rPr>
          <w:rFonts w:hint="eastAsia"/>
          <w:color w:val="000000"/>
          <w:kern w:val="0"/>
          <w:sz w:val="24"/>
        </w:rPr>
        <w:t/>
      </w:r>
      <w:r w:rsidRPr="00085115">
        <w:rPr>
          <w:rFonts w:hint="eastAsia"/>
          <w:color w:val="000000"/>
          <w:kern w:val="0"/>
          <w:sz w:val="24"/>
        </w:rPr>
        <w:t>金额单位：人民币元</w:t>
      </w:r>
    </w:p>
    <w:tbl>
      <w:tblPr>
        <w:tblStyle w:val="af6"/>
        <w:tblW w:type="dxa" w:w="8868"/>
        <w:jc w:val="center"/>
        <w:tblCellMar>
          <w:top w:type="dxa" w:w="57"/>
          <w:bottom w:type="dxa" w:w="57"/>
        </w:tblCellMar>
        <w:tblLook w:firstColumn="1" w:firstRow="1" w:lastColumn="0" w:lastRow="0" w:noHBand="0" w:noVBand="1" w:val="04A0"/>
      </w:tblPr>
      <w:tblGrid>
        <w:gridCol w:w="1491"/>
        <w:gridCol w:w="1491"/>
        <w:gridCol w:w="1491"/>
        <w:gridCol w:w="1599"/>
        <w:gridCol w:w="1599"/>
        <w:gridCol w:w="1571"/>
      </w:tblGrid>
      <w:tr w:rsidR="009A0513" w:rsidRPr="007F52FA" w:rsidTr="00B236A5">
        <w:trPr>
          <w:jc w:val="center"/>
        </w:trPr>
        <w:tc>
          <w:tcPr>
            <w:tcW w:type="dxa" w:w="1504"/>
            <w:vAlign w:val="center"/>
          </w:tcPr>
          <w:p w:rsidP="007C14DF"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04"/>
            <w:vAlign w:val="center"/>
          </w:tcPr>
          <w:p w:rsidP="007C14DF"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type="dxa" w:w="1504"/>
            <w:vAlign w:val="center"/>
          </w:tcPr>
          <w:p w:rsidP="007C14DF"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type="dxa" w:w="1503"/>
            <w:vAlign w:val="center"/>
          </w:tcPr>
          <w:p w:rsidP="005324E6"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1315E1">
              <w:rPr>
                <w:rFonts w:hint="eastAsia"/>
                <w:color w:val="000000"/>
                <w:kern w:val="0"/>
                <w:sz w:val="24"/>
              </w:rPr>
              <w:t>(</w:t>
            </w:r>
            <w:r w:rsidR="001315E1">
              <w:rPr>
                <w:rFonts w:hint="eastAsia"/>
                <w:color w:val="000000"/>
                <w:kern w:val="0"/>
                <w:sz w:val="24"/>
              </w:rPr>
              <w:t>份</w:t>
            </w:r>
            <w:r w:rsidR="001315E1">
              <w:rPr>
                <w:rFonts w:hint="eastAsia"/>
                <w:color w:val="000000"/>
                <w:kern w:val="0"/>
                <w:sz w:val="24"/>
              </w:rPr>
              <w:t>)</w:t>
            </w:r>
          </w:p>
        </w:tc>
        <w:tc>
          <w:tcPr>
            <w:tcW w:type="dxa" w:w="1503"/>
            <w:vAlign w:val="center"/>
          </w:tcPr>
          <w:p w:rsidP="00430A5C"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430A5C">
              <w:rPr>
                <w:rFonts w:hint="eastAsia"/>
                <w:color w:val="000000"/>
                <w:kern w:val="0"/>
                <w:sz w:val="24"/>
              </w:rPr>
              <w:t>(</w:t>
            </w:r>
            <w:r w:rsidR="00430A5C">
              <w:rPr>
                <w:rFonts w:hint="eastAsia"/>
                <w:color w:val="000000"/>
                <w:kern w:val="0"/>
                <w:sz w:val="24"/>
              </w:rPr>
              <w:t>元</w:t>
            </w:r>
            <w:r w:rsidR="00430A5C">
              <w:rPr>
                <w:color w:val="000000"/>
                <w:kern w:val="0"/>
                <w:sz w:val="24"/>
              </w:rPr>
              <w:t>)</w:t>
            </w:r>
          </w:p>
        </w:tc>
        <w:tc>
          <w:tcPr>
            <w:tcW w:type="dxa" w:w="1503"/>
            <w:vAlign w:val="center"/>
          </w:tcPr>
          <w:p w:rsidP="007C14DF"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87122">
              <w:rPr>
                <w:rFonts w:hint="eastAsia"/>
                <w:color w:val="000000"/>
                <w:kern w:val="0"/>
                <w:sz w:val="24"/>
              </w:rPr>
              <w:t>(</w:t>
            </w:r>
            <w:r w:rsidR="00187122">
              <w:rPr>
                <w:color w:val="000000"/>
                <w:kern w:val="0"/>
                <w:sz w:val="24"/>
              </w:rPr>
              <w:t>%</w:t>
            </w:r>
            <w:r w:rsidR="00187122">
              <w:rPr>
                <w:rFonts w:hint="eastAsia"/>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1889203</w:t>
            </w:r>
          </w:p>
        </w:tc>
        <w:tc>
          <w:tcPr>
            <w:vAlign w:val="center"/>
          </w:tcPr>
          <w:p>
            <w:pPr>
              <w:jc w:val="center"/>
            </w:pPr>
            <w:r>
              <w:rPr>
                <w:color w:val="000000"/>
                <w:sz w:val="24"/>
              </w:rPr>
              <w:t>18工元9A1</w:t>
            </w:r>
          </w:p>
        </w:tc>
        <w:tc>
          <w:tcPr>
            <w:vAlign w:val="center"/>
          </w:tcPr>
          <w:p>
            <w:pPr>
              <w:jc w:val="right"/>
            </w:pPr>
            <w:r>
              <w:rPr>
                <w:color w:val="000000"/>
                <w:sz w:val="24"/>
              </w:rPr>
              <w:t>2,400,000</w:t>
            </w:r>
          </w:p>
        </w:tc>
        <w:tc>
          <w:tcPr>
            <w:vAlign w:val="center"/>
          </w:tcPr>
          <w:p>
            <w:pPr>
              <w:jc w:val="right"/>
            </w:pPr>
            <w:r>
              <w:rPr>
                <w:color w:val="000000"/>
                <w:sz w:val="24"/>
              </w:rPr>
              <w:t>113,016,000.00</w:t>
            </w:r>
          </w:p>
        </w:tc>
        <w:tc>
          <w:tcPr>
            <w:vAlign w:val="center"/>
          </w:tcPr>
          <w:p>
            <w:pPr>
              <w:jc w:val="right"/>
            </w:pPr>
            <w:r>
              <w:rPr>
                <w:color w:val="000000"/>
                <w:sz w:val="24"/>
              </w:rPr>
              <w:t>3.18</w:t>
            </w:r>
          </w:p>
        </w:tc>
      </w:tr>
      <w:tr>
        <w:tc>
          <w:tcPr>
            <w:vAlign w:val="center"/>
          </w:tcPr>
          <w:p>
            <w:pPr>
              <w:jc w:val="center"/>
            </w:pPr>
            <w:r>
              <w:rPr>
                <w:color w:val="000000"/>
                <w:sz w:val="24"/>
              </w:rPr>
              <w:t>2</w:t>
            </w:r>
          </w:p>
        </w:tc>
        <w:tc>
          <w:tcPr>
            <w:vAlign w:val="center"/>
          </w:tcPr>
          <w:p>
            <w:pPr>
              <w:jc w:val="center"/>
            </w:pPr>
            <w:r>
              <w:rPr>
                <w:color w:val="000000"/>
                <w:sz w:val="24"/>
              </w:rPr>
              <w:t>1889284</w:t>
            </w:r>
          </w:p>
        </w:tc>
        <w:tc>
          <w:tcPr>
            <w:vAlign w:val="center"/>
          </w:tcPr>
          <w:p>
            <w:pPr>
              <w:jc w:val="center"/>
            </w:pPr>
            <w:r>
              <w:rPr>
                <w:color w:val="000000"/>
                <w:sz w:val="24"/>
              </w:rPr>
              <w:t>18开元2A</w:t>
            </w:r>
          </w:p>
        </w:tc>
        <w:tc>
          <w:tcPr>
            <w:vAlign w:val="center"/>
          </w:tcPr>
          <w:p>
            <w:pPr>
              <w:jc w:val="right"/>
            </w:pPr>
            <w:r>
              <w:rPr>
                <w:color w:val="000000"/>
                <w:sz w:val="24"/>
              </w:rPr>
              <w:t>2,000,000</w:t>
            </w:r>
          </w:p>
        </w:tc>
        <w:tc>
          <w:tcPr>
            <w:vAlign w:val="center"/>
          </w:tcPr>
          <w:p>
            <w:pPr>
              <w:jc w:val="right"/>
            </w:pPr>
            <w:r>
              <w:rPr>
                <w:color w:val="000000"/>
                <w:sz w:val="24"/>
              </w:rPr>
              <w:t>31,400,000.00</w:t>
            </w:r>
          </w:p>
        </w:tc>
        <w:tc>
          <w:tcPr>
            <w:vAlign w:val="center"/>
          </w:tcPr>
          <w:p>
            <w:pPr>
              <w:jc w:val="right"/>
            </w:pPr>
            <w:r>
              <w:rPr>
                <w:color w:val="000000"/>
                <w:sz w:val="24"/>
              </w:rPr>
              <w:t>0.88</w:t>
            </w:r>
          </w:p>
        </w:tc>
      </w:tr>
      <w:tr>
        <w:tc>
          <w:tcPr>
            <w:vAlign w:val="center"/>
          </w:tcPr>
          <w:p>
            <w:pPr>
              <w:jc w:val="center"/>
            </w:pPr>
            <w:r>
              <w:rPr>
                <w:color w:val="000000"/>
                <w:sz w:val="24"/>
              </w:rPr>
              <w:t>3</w:t>
            </w:r>
          </w:p>
        </w:tc>
        <w:tc>
          <w:tcPr>
            <w:vAlign w:val="center"/>
          </w:tcPr>
          <w:p>
            <w:pPr>
              <w:jc w:val="center"/>
            </w:pPr>
            <w:r>
              <w:rPr>
                <w:color w:val="000000"/>
                <w:sz w:val="24"/>
              </w:rPr>
              <w:t>1889250</w:t>
            </w:r>
          </w:p>
        </w:tc>
        <w:tc>
          <w:tcPr>
            <w:vAlign w:val="center"/>
          </w:tcPr>
          <w:p>
            <w:pPr>
              <w:jc w:val="center"/>
            </w:pPr>
            <w:r>
              <w:rPr>
                <w:color w:val="000000"/>
                <w:sz w:val="24"/>
              </w:rPr>
              <w:t>18惠益1A</w:t>
            </w:r>
          </w:p>
        </w:tc>
        <w:tc>
          <w:tcPr>
            <w:vAlign w:val="center"/>
          </w:tcPr>
          <w:p>
            <w:pPr>
              <w:jc w:val="right"/>
            </w:pPr>
            <w:r>
              <w:rPr>
                <w:color w:val="000000"/>
                <w:sz w:val="24"/>
              </w:rPr>
              <w:t>1,500,000</w:t>
            </w:r>
          </w:p>
        </w:tc>
        <w:tc>
          <w:tcPr>
            <w:vAlign w:val="center"/>
          </w:tcPr>
          <w:p>
            <w:pPr>
              <w:jc w:val="right"/>
            </w:pPr>
            <w:r>
              <w:rPr>
                <w:color w:val="000000"/>
                <w:sz w:val="24"/>
              </w:rPr>
              <w:t>20,235,000.00</w:t>
            </w:r>
          </w:p>
        </w:tc>
        <w:tc>
          <w:tcPr>
            <w:vAlign w:val="center"/>
          </w:tcPr>
          <w:p>
            <w:pPr>
              <w:jc w:val="right"/>
            </w:pPr>
            <w:r>
              <w:rPr>
                <w:color w:val="000000"/>
                <w:sz w:val="24"/>
              </w:rPr>
              <w:t>0.57</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5.11.1报告期内本基金投资的前十名证券的发行主体除17民生银行01（证券代码：1728004）外，未出现被监管部门立案调查，或在报告编制日前一年内受到公开谴责、处罚的情形。</w:t>
      </w:r>
    </w:p>
    <w:p>
      <w:pPr>
        <w:autoSpaceDE w:val="0"/>
        <w:autoSpaceDN w:val="0"/>
        <w:adjustRightInd w:val="0"/>
        <w:spacing w:before="29" w:line="288" w:lineRule="auto"/>
        <w:rPr>
          <w:kern w:val="0"/>
          <w:sz w:val="24"/>
        </w:rPr>
      </w:pPr>
      <w:r>
        <w:rPr>
          <w:kern w:val="0"/>
          <w:sz w:val="24"/>
        </w:rPr>
        <w:t>报告期内本基金投资的前十名证券之一17民生银行01（证券代码：1728004）的发行主体民生银行，根据银保监会2018年12月7日公布的《中国银行保险监督管理委员会行政处罚信息公开表(银保监银罚决字〔2018〕5号)》，因存在贷款业务严重违反审慎经营规则等违法违规事实，被中国银行保险监督管理委员会处以行政处罚，罚款200万元；根据银保监会2018年12月7日公布的《中国银行保险监督管理委员会行政处罚信息公开表(银保监银罚决字〔2018〕8号)》，因存在内控管理严重违反审慎经营规则、同业投资违规接受担保、同业投资、理财资金违规投资房地产，用于缴交或置换土地出让金及土地储备融资、本行理财产品之间风险隔离不到位、个人理财资金违规投资、票据代理未明示，增信未簿记和计提资本占用、为非保本理财产品提供保本承诺等违法违规事实，被中国银行保险监督管理委员会处以行政处罚，罚款3160万元。</w:t>
      </w:r>
    </w:p>
    <w:p>
      <w:pPr>
        <w:autoSpaceDE w:val="0"/>
        <w:autoSpaceDN w:val="0"/>
        <w:adjustRightInd w:val="0"/>
        <w:spacing w:before="29" w:line="288" w:lineRule="auto"/>
        <w:rPr>
          <w:kern w:val="0"/>
          <w:sz w:val="24"/>
        </w:rPr>
      </w:pPr>
      <w:r>
        <w:rPr>
          <w:kern w:val="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5.11.2本基金投资的前十名股票中，没有超出基金合同规定的备选股票库之外的股票。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6"/>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54,769,212.23</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54,769,212.23</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交银裕利纯债债券A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交银裕利纯债债券C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3,382,769,616.87</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25,748.78</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647.97</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67,765.59</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188.19</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22,993.38</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3,382,770,076.65</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70,520.99</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注：1、如果本报告期间发生转换入、红利再投业务，则总申购份额中包含该业务；</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2019/7/1-2019/9/30</w:t>
            </w:r>
          </w:p>
        </w:tc>
        <w:tc>
          <w:tcPr>
            <w:vAlign w:val="center"/>
          </w:tcPr>
          <w:p>
            <w:pPr>
              <w:jc w:val="center"/>
            </w:pPr>
            <w:r>
              <w:rPr>
                <w:rFonts w:ascii="宋体" w:hAnsi="宋体" w:hint="eastAsia"/>
                <w:color w:val="000000"/>
                <w:kern w:val="0"/>
                <w:szCs w:val="21"/>
              </w:rPr>
              <w:t>3,382,690,550.12</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3,382,690,550.12</w:t>
            </w:r>
          </w:p>
        </w:tc>
        <w:tc>
          <w:tcPr>
            <w:vAlign w:val="center"/>
          </w:tcPr>
          <w:p>
            <w:pPr>
              <w:jc w:val="center"/>
            </w:pPr>
            <w:r>
              <w:rPr>
                <w:rFonts w:ascii="宋体" w:hAnsi="宋体" w:hint="eastAsia"/>
                <w:color w:val="000000"/>
                <w:kern w:val="0"/>
                <w:szCs w:val="21"/>
              </w:rPr>
              <w:t>100.00%</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1、中国证监会准予交银施罗德裕利纯债债券型证券投资基金募集注册的文件；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2、《交银施罗德裕利纯债债券型证券投资基金基金合同》；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3、《交银施罗德裕利纯债债券型证券投资基金招募说明书》；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4、《交银施罗德裕利纯债债券型证券投资基金托管协议》；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5、关于申请募集注册交银施罗德裕利纯债债券型证券投资基金的法律意见书；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8、报告期内交银施罗德裕利纯债债券型证券投资基金在指定报刊上各项公告的原稿。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E22" w:rsidRDefault="000A2E22">
      <w:r>
        <w:separator/>
      </w:r>
    </w:p>
  </w:endnote>
  <w:endnote w:type="continuationSeparator" w:id="0">
    <w:p w:rsidR="000A2E22" w:rsidRDefault="000A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C51B4E" w:rsidRDefault="00C51B4E">
    <w:pPr>
      <w:pStyle w:val="a7"/>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P="00F7094A" w:rsidR="007F50FB" w:rsidRDefault="007F50FB" w:rsidRPr="001D0DB0">
    <w:pPr>
      <w:pStyle w:val="a7"/>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143E9C">
      <w:rPr>
        <w:noProof/>
        <w:kern w:val="0"/>
        <w:szCs w:val="21"/>
      </w:rPr>
      <w:t>26</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143E9C">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C51B4E" w:rsidRDefault="00C51B4E">
    <w:pPr>
      <w:pStyle w:val="a7"/>
    </w:pPr>
  </w:p>
</w:ftr>
</file>

<file path=word/footer4.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7F50FB" w:rsidRDefault="0042114A">
    <w:pPr>
      <w:pStyle w:val="a7"/>
      <w:framePr w:hAnchor="margin" w:vAnchor="text" w:wrap="around" w:xAlign="center" w:y="1"/>
      <w:rPr>
        <w:rStyle w:val="a8"/>
      </w:rPr>
    </w:pPr>
    <w:r>
      <w:rPr>
        <w:rStyle w:val="a8"/>
      </w:rPr>
      <w:fldChar w:fldCharType="begin"/>
    </w:r>
    <w:r w:rsidR="007F50FB">
      <w:rPr>
        <w:rStyle w:val="a8"/>
      </w:rPr>
      <w:instrText xml:space="preserve">PAGE  </w:instrText>
    </w:r>
    <w:r>
      <w:rPr>
        <w:rStyle w:val="a8"/>
      </w:rPr>
      <w:fldChar w:fldCharType="end"/>
    </w:r>
  </w:p>
  <w:p w:rsidR="007F50FB" w:rsidRDefault="007F50FB">
    <w:pPr>
      <w:pStyle w:val="a7"/>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footnote w:id="-1" w:type="separator">
    <w:p w:rsidR="000A2E22" w:rsidRDefault="000A2E22">
      <w:r>
        <w:separator/>
      </w:r>
    </w:p>
  </w:footnote>
  <w:footnote w:id="0" w:type="continuationSeparator">
    <w:p w:rsidR="000A2E22" w:rsidRDefault="000A2E22">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C51B4E" w:rsidRDefault="00C51B4E">
    <w:pPr>
      <w:pStyle w:val="aa"/>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交银施罗德裕利纯债债券型证券投资基金2019年第3季度报告</w:t>
    </w: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C51B4E" w:rsidRDefault="00C51B4E">
    <w:pPr>
      <w:pStyle w:val="aa"/>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mc:Ignorable="w14 w15 w16se w16cid">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cs="Times New Roman" w:eastAsia="宋体" w:hAnsi="Times New Roman"/>
        <w:lang w:bidi="ar-SA" w:eastAsia="zh-CN" w:val="en-US"/>
      </w:rPr>
    </w:rPrDefault>
    <w:pPrDefault/>
  </w:docDefaults>
  <w:latentStyles w:count="377"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0"/>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a6"/>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7" w:type="paragraph">
    <w:name w:val="footer"/>
    <w:basedOn w:val="a"/>
    <w:rsid w:val="006A4828"/>
    <w:pPr>
      <w:tabs>
        <w:tab w:pos="4153" w:val="center"/>
        <w:tab w:pos="8306" w:val="right"/>
      </w:tabs>
      <w:snapToGrid w:val="0"/>
      <w:jc w:val="left"/>
    </w:pPr>
    <w:rPr>
      <w:sz w:val="18"/>
      <w:szCs w:val="18"/>
    </w:rPr>
  </w:style>
  <w:style w:styleId="a8" w:type="character">
    <w:name w:val="page number"/>
    <w:basedOn w:val="a1"/>
    <w:rsid w:val="006A4828"/>
  </w:style>
  <w:style w:styleId="a9"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a" w:type="paragraph">
    <w:name w:val="header"/>
    <w:basedOn w:val="a"/>
    <w:link w:val="ab"/>
    <w:uiPriority w:val="99"/>
    <w:rsid w:val="006A4828"/>
    <w:pPr>
      <w:pBdr>
        <w:bottom w:color="auto" w:space="1" w:sz="6" w:val="single"/>
      </w:pBdr>
      <w:tabs>
        <w:tab w:pos="4153" w:val="center"/>
        <w:tab w:pos="8306" w:val="right"/>
      </w:tabs>
      <w:snapToGrid w:val="0"/>
      <w:jc w:val="center"/>
    </w:pPr>
    <w:rPr>
      <w:sz w:val="18"/>
      <w:szCs w:val="18"/>
    </w:rPr>
  </w:style>
  <w:style w:customStyle="1" w:styleId="11" w:type="character">
    <w:name w:val="已访问的超链接1"/>
    <w:basedOn w:val="a1"/>
    <w:rsid w:val="006A4828"/>
    <w:rPr>
      <w:color w:val="800080"/>
      <w:u w:val="single"/>
    </w:rPr>
  </w:style>
  <w:style w:styleId="ac" w:type="paragraph">
    <w:name w:val="List"/>
    <w:basedOn w:val="ad"/>
    <w:rsid w:val="006A4828"/>
    <w:pPr>
      <w:spacing w:after="220" w:line="220" w:lineRule="atLeast"/>
      <w:ind w:hanging="360" w:left="1440"/>
    </w:pPr>
    <w:rPr>
      <w:szCs w:val="20"/>
    </w:rPr>
  </w:style>
  <w:style w:styleId="ad" w:type="paragraph">
    <w:name w:val="Body Text"/>
    <w:basedOn w:val="a"/>
    <w:rsid w:val="006A4828"/>
    <w:pPr>
      <w:spacing w:after="120"/>
    </w:pPr>
  </w:style>
  <w:style w:styleId="ae" w:type="paragraph">
    <w:name w:val="Date"/>
    <w:basedOn w:val="a"/>
    <w:next w:val="a"/>
    <w:link w:val="af"/>
    <w:rsid w:val="006A4828"/>
    <w:rPr>
      <w:sz w:val="24"/>
      <w:szCs w:val="20"/>
    </w:rPr>
  </w:style>
  <w:style w:customStyle="1" w:styleId="c1" w:type="character">
    <w:name w:val="c1"/>
    <w:basedOn w:val="a1"/>
    <w:rsid w:val="006A4828"/>
    <w:rPr>
      <w:color w:val="000000"/>
      <w:sz w:val="18"/>
      <w:szCs w:val="18"/>
    </w:rPr>
  </w:style>
  <w:style w:styleId="12"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f0" w:type="paragraph">
    <w:name w:val="Balloon Text"/>
    <w:basedOn w:val="a"/>
    <w:semiHidden/>
    <w:rsid w:val="006A4828"/>
    <w:rPr>
      <w:sz w:val="18"/>
      <w:szCs w:val="18"/>
    </w:rPr>
  </w:style>
  <w:style w:styleId="af1" w:type="character">
    <w:name w:val="annotation reference"/>
    <w:basedOn w:val="a1"/>
    <w:uiPriority w:val="99"/>
    <w:semiHidden/>
    <w:rsid w:val="006A4828"/>
    <w:rPr>
      <w:sz w:val="21"/>
      <w:szCs w:val="21"/>
    </w:rPr>
  </w:style>
  <w:style w:styleId="af2" w:type="paragraph">
    <w:name w:val="annotation text"/>
    <w:basedOn w:val="a"/>
    <w:link w:val="af3"/>
    <w:uiPriority w:val="99"/>
    <w:semiHidden/>
    <w:rsid w:val="006A4828"/>
    <w:pPr>
      <w:jc w:val="left"/>
    </w:pPr>
  </w:style>
  <w:style w:styleId="af4" w:type="paragraph">
    <w:name w:val="annotation subject"/>
    <w:basedOn w:val="af2"/>
    <w:next w:val="af2"/>
    <w:semiHidden/>
    <w:rsid w:val="006A4828"/>
    <w:rPr>
      <w:b/>
      <w:bCs/>
    </w:rPr>
  </w:style>
  <w:style w:customStyle="1" w:styleId="Char" w:type="paragraph">
    <w:name w:val="Char"/>
    <w:basedOn w:val="a"/>
    <w:rsid w:val="006A4828"/>
  </w:style>
  <w:style w:styleId="af5" w:type="paragraph">
    <w:name w:val="Document Map"/>
    <w:basedOn w:val="a"/>
    <w:semiHidden/>
    <w:rsid w:val="000A549A"/>
    <w:pPr>
      <w:shd w:color="auto" w:fill="000080" w:val="clear"/>
    </w:pPr>
  </w:style>
  <w:style w:styleId="af6"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7" w:type="paragraph">
    <w:name w:val="footnote text"/>
    <w:basedOn w:val="a"/>
    <w:link w:val="af8"/>
    <w:rsid w:val="000B251E"/>
    <w:pPr>
      <w:snapToGrid w:val="0"/>
      <w:jc w:val="left"/>
    </w:pPr>
    <w:rPr>
      <w:sz w:val="18"/>
      <w:szCs w:val="18"/>
    </w:rPr>
  </w:style>
  <w:style w:styleId="af9" w:type="character">
    <w:name w:val="footnote reference"/>
    <w:basedOn w:val="a1"/>
    <w:rsid w:val="000B251E"/>
    <w:rPr>
      <w:vertAlign w:val="superscript"/>
    </w:rPr>
  </w:style>
  <w:style w:styleId="afa"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0"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a6" w:type="character">
    <w:name w:val="纯文本 字符"/>
    <w:basedOn w:val="a1"/>
    <w:link w:val="a5"/>
    <w:uiPriority w:val="99"/>
    <w:rsid w:val="009A045B"/>
    <w:rPr>
      <w:rFonts w:ascii="宋体" w:hAnsi="Courier New"/>
      <w:kern w:val="2"/>
      <w:sz w:val="21"/>
      <w:szCs w:val="21"/>
    </w:rPr>
  </w:style>
  <w:style w:customStyle="1" w:styleId="af8" w:type="character">
    <w:name w:val="脚注文本 字符"/>
    <w:basedOn w:val="a1"/>
    <w:link w:val="af7"/>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ab" w:type="character">
    <w:name w:val="页眉 字符"/>
    <w:basedOn w:val="a1"/>
    <w:link w:val="aa"/>
    <w:uiPriority w:val="99"/>
    <w:rsid w:val="001207F2"/>
    <w:rPr>
      <w:kern w:val="2"/>
      <w:sz w:val="18"/>
      <w:szCs w:val="18"/>
    </w:rPr>
  </w:style>
  <w:style w:customStyle="1" w:styleId="10" w:type="character">
    <w:name w:val="标题 1 字符"/>
    <w:basedOn w:val="a1"/>
    <w:link w:val="1"/>
    <w:uiPriority w:val="99"/>
    <w:rsid w:val="00180952"/>
    <w:rPr>
      <w:b/>
      <w:bCs/>
      <w:kern w:val="44"/>
      <w:sz w:val="44"/>
      <w:szCs w:val="44"/>
    </w:rPr>
  </w:style>
  <w:style w:customStyle="1" w:styleId="af" w:type="character">
    <w:name w:val="日期 字符"/>
    <w:basedOn w:val="a1"/>
    <w:link w:val="ae"/>
    <w:rsid w:val="00D66685"/>
    <w:rPr>
      <w:kern w:val="2"/>
      <w:sz w:val="24"/>
    </w:rPr>
  </w:style>
  <w:style w:styleId="afb" w:type="character">
    <w:name w:val="Strong"/>
    <w:basedOn w:val="a1"/>
    <w:uiPriority w:val="22"/>
    <w:qFormat/>
    <w:rsid w:val="00C02900"/>
    <w:rPr>
      <w:b/>
      <w:bCs/>
    </w:rPr>
  </w:style>
  <w:style w:customStyle="1" w:styleId="af3" w:type="character">
    <w:name w:val="批注文字 字符"/>
    <w:basedOn w:val="a1"/>
    <w:link w:val="af2"/>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3D1C4-DF97-4403-82EB-0D35503E4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242</TotalTime>
  <Pages>27</Pages>
  <Words>4287</Words>
  <Characters>24442</Characters>
  <Application>Microsoft Office Word</Application>
  <DocSecurity>0</DocSecurity>
  <Lines>203</Lines>
  <Paragraphs>57</Paragraphs>
  <ScaleCrop>false</ScaleCrop>
  <Company>TRT. Ltd. Co.</Company>
  <LinksUpToDate>false</LinksUpToDate>
  <CharactersWithSpaces>28672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857040381@qq.com</cp:lastModifiedBy>
  <cp:lastPrinted>2007-07-19T00:46:00Z</cp:lastPrinted>
  <dcterms:modified xsi:type="dcterms:W3CDTF">2019-09-18T07:08:00Z</dcterms:modified>
  <cp:revision>402</cp:revision>
</cp:coreProperties>
</file>