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交银施罗德活期通货币市场基金</w:t>
      </w:r>
    </w:p>
    <w:p w:rsidP="00281564" w:rsidR="00B60E27" w:rsidRDefault="00B60E27" w:rsidRPr="001E1B20">
      <w:pPr>
        <w:spacing w:before="29" w:line="288" w:lineRule="auto"/>
        <w:jc w:val="center"/>
        <w:rPr>
          <w:b/>
          <w:sz w:val="36"/>
          <w:szCs w:val="36"/>
        </w:rPr>
      </w:pPr>
      <w:r w:rsidRPr="001E1B20">
        <w:rPr>
          <w:b/>
          <w:sz w:val="36"/>
          <w:szCs w:val="36"/>
        </w:rPr>
        <w:t>2019年第3季度报告</w:t>
      </w:r>
    </w:p>
    <w:p w:rsidP="00281564" w:rsidR="002B45A4" w:rsidRDefault="00D87D00" w:rsidRPr="001E1B20">
      <w:pPr>
        <w:spacing w:before="29" w:line="288" w:lineRule="auto"/>
        <w:jc w:val="center"/>
        <w:rPr>
          <w:b/>
          <w:sz w:val="36"/>
          <w:szCs w:val="36"/>
        </w:rPr>
      </w:pPr>
      <w:r w:rsidRPr="001E1B20">
        <w:rPr>
          <w:b/>
          <w:sz w:val="36"/>
          <w:szCs w:val="36"/>
        </w:rPr>
        <w:t>2019年9月30日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中信建投证券股份有限公司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r w:rsidR="00D87D00" w:rsidRPr="001E1B20">
        <w:rPr>
          <w:b/>
          <w:color w:val="000000"/>
          <w:sz w:val="24"/>
        </w:rPr>
        <w:t/>
      </w:r>
      <w:r w:rsidR="00EF56FA" w:rsidRPr="001E1B20">
        <w:rPr>
          <w:b/>
          <w:color w:val="000000"/>
          <w:sz w:val="24"/>
        </w:rPr>
        <w:t>二〇一九年十月二十二日</w:t>
      </w:r>
    </w:p>
    <w:p w:rsidP="00841EB4" w:rsidR="00902E3F" w:rsidRDefault="00902E3F" w:rsidRPr="000E4C40">
      <w:pPr>
        <w:pStyle w:val="1"/>
        <w:spacing w:after="312" w:afterLines="100" w:before="312"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基金托管人中信建投证券股份有限公司根据本基金合同规定，于2019年10月21日复核了本报告中的财务指标、净值表现和投资组合报告等内容，保证复核内容不存在虚假记载、误导性陈述或者重大遗漏。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本报告期自2019年7月1日起至9月30日止。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交银活期通货币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003042</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2016年7月27日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36,183,227,883.11</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中信建投证券股份有限公司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交银活期通货币A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交银活期通货币E</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003042</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003043</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Pr="000E4C40">
              <w:rPr>
                <w:sz w:val="24"/>
              </w:rPr>
              <w:t/>
            </w:r>
            <w:r w:rsidR="007B082A" w:rsidRPr="000E4C40">
              <w:rPr>
                <w:sz w:val="24"/>
              </w:rPr>
              <w:t/>
            </w:r>
            <w:r w:rsidRPr="000E4C40">
              <w:rPr>
                <w:sz w:val="24"/>
              </w:rPr>
              <w:t>16,748,613,999.98</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19,434,613,883.13</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(2019年7月1日-2019年9月30日)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Pr="000E4C40">
              <w:rPr>
                <w:sz w:val="24"/>
              </w:rPr>
              <w:t>交银活期通货币A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交银活期通货币E</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103,594,934.76</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126,424,522.35</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103,594,934.76</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126,424,522.35</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16,748,613,999.98</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19,434,613,883.13</w:t>
            </w:r>
          </w:p>
        </w:tc>
      </w:tr>
    </w:tbl>
    <w:p>
      <w:pPr>
        <w:autoSpaceDE w:val="0"/>
        <w:autoSpaceDN w:val="0"/>
        <w:adjustRightInd w:val="0"/>
        <w:spacing w:before="29" w:line="288" w:lineRule="auto"/>
        <w:jc w:val="left"/>
        <w:rPr>
          <w:color w:val="000000"/>
          <w:sz w:val="24"/>
        </w:rPr>
      </w:pPr>
      <w:r>
        <w:rPr>
          <w:color w:val="000000"/>
          <w:sz w:val="24"/>
        </w:rPr>
        <w:t>注：1、本基金实行销售服务费分类收费方式，分设两类基金份额：A类基金份额和E类基金份额。A类基金份额与E类基金份额的管理费、托管费相同，A类基金份额按照0.25%的年费率计提销售服务费，E类基金份额按照0.01%的年费率计提销售服务费。</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交银活期通货币A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0.6006%</w:t>
            </w:r>
          </w:p>
        </w:tc>
        <w:tc>
          <w:tcPr>
            <w:vAlign w:val="center"/>
          </w:tcPr>
          <w:p>
            <w:pPr>
              <w:jc w:val="center"/>
            </w:pPr>
            <w:r>
              <w:rPr>
                <w:rFonts w:ascii="Times New Roman" w:hAnsi="Times New Roman"/>
                <w:color w:val="000000"/>
              </w:rPr>
              <w:t>0.0008%</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0.5124%</w:t>
            </w:r>
          </w:p>
        </w:tc>
        <w:tc>
          <w:tcPr>
            <w:vAlign w:val="center"/>
          </w:tcPr>
          <w:p>
            <w:pPr>
              <w:jc w:val="center"/>
            </w:pPr>
            <w:r>
              <w:rPr>
                <w:rFonts w:ascii="Times New Roman" w:hAnsi="Times New Roman"/>
                <w:color w:val="000000"/>
              </w:rPr>
              <w:t>0.0008%</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注：本基金收益分配按日结转份额。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交银活期通货币E</w:t>
      </w:r>
      <w:r w:rsidR="000B2044"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0.6616%</w:t>
            </w:r>
          </w:p>
        </w:tc>
        <w:tc>
          <w:tcPr>
            <w:vAlign w:val="center"/>
          </w:tcPr>
          <w:p>
            <w:pPr>
              <w:jc w:val="center"/>
            </w:pPr>
            <w:r>
              <w:rPr>
                <w:rFonts w:ascii="Times New Roman" w:hAnsi="Times New Roman"/>
                <w:color w:val="000000"/>
              </w:rPr>
              <w:t>0.0008%</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0.5734%</w:t>
            </w:r>
          </w:p>
        </w:tc>
        <w:tc>
          <w:tcPr>
            <w:vAlign w:val="center"/>
          </w:tcPr>
          <w:p>
            <w:pPr>
              <w:jc w:val="center"/>
            </w:pPr>
            <w:r>
              <w:rPr>
                <w:rFonts w:ascii="Times New Roman" w:hAnsi="Times New Roman"/>
                <w:color w:val="000000"/>
              </w:rPr>
              <w:t>0.0008%</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注：本基金收益分配按日结转份额。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交银施罗德活期通货币市场基金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2016年7月27日</w:t>
      </w:r>
      <w:r w:rsidR="00A7219D" w:rsidRPr="000E4C40">
        <w:rPr>
          <w:rFonts w:hAnsi="宋体"/>
          <w:color w:val="000000"/>
          <w:kern w:val="0"/>
          <w:sz w:val="24"/>
        </w:rPr>
        <w:t>至</w:t>
      </w:r>
      <w:r w:rsidR="00A7219D" w:rsidRPr="000E4C40">
        <w:rPr>
          <w:color w:val="000000"/>
          <w:kern w:val="0"/>
          <w:sz w:val="24"/>
        </w:rPr>
        <w:t>2019年9月30日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交银活期通货币A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交银活期通货币E</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交银理财21天债券、交银丰享收益债券、交银裕通纯债债券、交银活期通货币、交银天利宝货币、交银裕隆纯债债券、交银天益宝货币、交银境尚收益债券、交银稳鑫短债债券的基金经理</w:t>
            </w:r>
          </w:p>
        </w:tc>
        <w:tc>
          <w:tcPr>
            <w:vAlign w:val="center"/>
          </w:tcPr>
          <w:p>
            <w:pPr>
              <w:jc w:val="center"/>
            </w:pPr>
            <w:r>
              <w:rPr>
                <w:color w:val="000000"/>
                <w:sz w:val="24"/>
              </w:rPr>
              <w:t>2016-07-27</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w:t>
            </w:r>
          </w:p>
        </w:tc>
      </w:tr>
      <w:tr>
        <w:tc>
          <w:tcPr>
            <w:vAlign w:val="center"/>
          </w:tcPr>
          <w:p>
            <w:pPr>
              <w:jc w:val="center"/>
            </w:pPr>
            <w:r>
              <w:rPr>
                <w:color w:val="000000"/>
                <w:sz w:val="24"/>
              </w:rPr>
              <w:t>连端清</w:t>
            </w:r>
          </w:p>
        </w:tc>
        <w:tc>
          <w:tcPr>
            <w:vAlign w:val="center"/>
          </w:tcPr>
          <w:p>
            <w:pPr>
              <w:jc w:val="center"/>
            </w:pPr>
            <w:r>
              <w:rPr>
                <w:color w:val="000000"/>
                <w:sz w:val="24"/>
              </w:rPr>
              <w:t>交银理财60天债券、交银丰盈收益债券、交银丰润收益债券、交银活期通货币、交银裕盈纯债债券、交银裕利纯债债券的基金经理</w:t>
            </w:r>
          </w:p>
        </w:tc>
        <w:tc>
          <w:tcPr>
            <w:vAlign w:val="center"/>
          </w:tcPr>
          <w:p>
            <w:pPr>
              <w:jc w:val="center"/>
            </w:pPr>
            <w:r>
              <w:rPr>
                <w:color w:val="000000"/>
                <w:sz w:val="24"/>
              </w:rPr>
              <w:t>2016-07-27</w:t>
            </w:r>
          </w:p>
        </w:tc>
        <w:tc>
          <w:tcPr>
            <w:vAlign w:val="center"/>
          </w:tcPr>
          <w:p>
            <w:pPr>
              <w:jc w:val="center"/>
            </w:pPr>
            <w:r>
              <w:rPr>
                <w:color w:val="000000"/>
                <w:sz w:val="24"/>
              </w:rPr>
              <w:t>-</w:t>
            </w:r>
          </w:p>
        </w:tc>
        <w:tc>
          <w:tcPr>
            <w:vAlign w:val="center"/>
          </w:tcPr>
          <w:p>
            <w:pPr>
              <w:jc w:val="center"/>
            </w:pPr>
            <w:r>
              <w:rPr>
                <w:color w:val="000000"/>
                <w:sz w:val="24"/>
              </w:rPr>
              <w:t>6年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2015年8月4日至2019年8月2日担任交银施罗德现金宝货币市场基金的基金经理。2015年10月16日至2019年8月2日担任交银施罗德货币市场证券投资基金的基金经理。2016年12月7日至2019年8月2日担任交银施罗德天鑫宝货币市场基金的基金经理。2017年12月29日至2019年8月2日担任交银施罗德天运宝货币市场基金的基金经理。2016年10月19日至2019年9月29日担任交银施罗德天利宝货币市场基金的基金经理。2016年11月28日至2019年9月29日担任交银施罗德裕隆纯债债券型证券投资基金的基金经理。2016年12月20日至2019年9月29日担任交银施罗德天益宝货币市场基金的基金经理。2017年3月3日至2019年9月29日担任交银施罗德境尚收益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3、基金经理（或基金经理小组）期后变动（如有）敬请关注基金管理人发布的相关公告。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2019年三季度，国内经济继续放缓。受中美贸易战硝烟再起及美欧等发达经济体衰退预期加强等影响，三季度中采制造业PMI依然在荣枯线以下。三季度尽管基建投资略有回升，但是受制造业FAI持续下行且房地产FAI高位下行影响，FAI同比增速继续下行承压。受汽车销售降幅扩大等影响，7-8月社会消费品零售同比增速降至低位。7-8月PPI同比在三年后再次步入负增长状态，但是受猪肉与鲜果等大幅上涨推动，CPI持续攀升。三季度中美贸易战曾一度升级，但在九月有所缓和。货币政策上，受经济下行与中美贸易战不确定性等影响，央行加强逆周期调节力度，九月上旬宣布全面降准0.5个百分点且定向降准1个百分点，努力疏通货币传导机制，八月人行宣布改革完善贷款市场报价利率（LPR）形成机制。</w:t>
      </w:r>
    </w:p>
    <w:p>
      <w:pPr>
        <w:spacing w:before="29" w:line="288" w:lineRule="auto"/>
        <w:ind w:firstLine="480" w:firstLineChars="200"/>
        <w:rPr>
          <w:color w:val="000000"/>
          <w:sz w:val="24"/>
        </w:rPr>
      </w:pPr>
      <w:r>
        <w:rPr>
          <w:color w:val="000000"/>
          <w:sz w:val="24"/>
        </w:rPr>
        <w:t>资金面上，三季度央行加强了公开市场回笼力度，维护货币市场资金面稳定，银行间货币市场资金面除九月中下旬有些趋紧之外，大部分交易日保持相对宽松格局，但三季度货币市场资金价格较二季度显著上涨。三季度存单与存款收益率中枢继续下移。三季度债市处于先上涨后回调的震荡格局。受经济下行预期增强及中美贸易战不确定性上升等影响，七月至八月中旬债市一路上涨，但随后货币政策宽松不及市场预期，八月中下旬开始债市进入回调状态。</w:t>
      </w:r>
    </w:p>
    <w:p>
      <w:pPr>
        <w:spacing w:before="29" w:line="288" w:lineRule="auto"/>
        <w:ind w:firstLine="480" w:firstLineChars="200"/>
        <w:rPr>
          <w:color w:val="000000"/>
          <w:sz w:val="24"/>
        </w:rPr>
      </w:pPr>
      <w:r>
        <w:rPr>
          <w:color w:val="000000"/>
          <w:sz w:val="24"/>
        </w:rPr>
        <w:t>基金操作方面，报告期内本基金保持适度流动性以期满足基金份额持有人潜在赎回需求，同时管控信用风险，择机调整组合杠杆与久期。根据市场情况灵活调整存款存单与短融等投资品种的配置比例，择机加大存款存单以及短融等的配置力度，为持有人创造了稳健的回报。</w:t>
      </w:r>
    </w:p>
    <w:p w:rsidP="00281564" w:rsidR="00C4627A" w:rsidRDefault="00C4627A" w:rsidRPr="000E4C40">
      <w:pPr>
        <w:spacing w:before="29" w:line="288" w:lineRule="auto"/>
        <w:ind w:firstLine="480" w:firstLineChars="200"/>
        <w:rPr>
          <w:color w:val="000000"/>
          <w:sz w:val="24"/>
        </w:rPr>
      </w:pPr>
      <w:r w:rsidRPr="000E4C40">
        <w:rPr>
          <w:color w:val="000000"/>
          <w:sz w:val="24"/>
        </w:rPr>
        <w:t>展望2019年四季度，国内经济继续放缓风险依然存在，但是考虑稳增长与逆周期调节政策的逐步推进等因素，边际放缓幅度可能趋于收敛。我们推测短期内人行货币政策将维持中性偏松，保持逆周期调节作用。我们将密切关注中美贸易谈判的进展以及中央经济政策动态。组合管理方面，本基金将跟踪研判宏观经济走势与央行货币政策操作，保持较好的流动性，把握市场机会，控制风险，努力为投资者创造稳健的回报。</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本基金（各类）份额净值及业绩表现请见“3.1主要财务指标” 及“3.2.1 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P="000F4B69" w:rsidR="000F4B69" w:rsidRDefault="000F4B69" w:rsidRPr="000F4B69">
      <w:pPr>
        <w:spacing w:before="29" w:line="288" w:lineRule="auto"/>
        <w:jc w:val="right"/>
        <w:rPr>
          <w:color w:val="000000"/>
          <w:kern w:val="0"/>
          <w:sz w:val="24"/>
        </w:rPr>
      </w:pPr>
      <w:r w:rsidRPr="000F4B69">
        <w:rPr>
          <w:rFonts w:hint="eastAsia"/>
          <w:color w:val="000000"/>
          <w:kern w:val="0"/>
          <w:sz w:val="24"/>
        </w:rPr>
        <w:t/>
      </w:r>
      <w:r w:rsidRPr="000F4B69">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20,046,217,028.77</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54.78</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19,866,217,028.77</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54.28</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180,000,000.00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0.49</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3,217,434,626.15</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8.79</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13,210,643,141.34</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36.10</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122,158,643.06</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0.33</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36,596,453,439.32</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firstColumn="0" w:firstRow="0" w:lastColumn="0" w:lastRow="0" w:noHBand="0" w:noVBand="0"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4.81</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8E3415" w:rsidR="007521F9" w:rsidRDefault="007521F9" w:rsidRPr="000E4C40">
            <w:pPr>
              <w:spacing w:before="29" w:line="288" w:lineRule="auto"/>
              <w:jc w:val="center"/>
              <w:rPr>
                <w:sz w:val="24"/>
              </w:rPr>
            </w:pPr>
            <w:r w:rsidRPr="000E4C40">
              <w:rPr>
                <w:rFonts w:hAnsi="宋体"/>
                <w:sz w:val="24"/>
              </w:rPr>
              <w:t>金额</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394,999,287.50</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1.09</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lastRenderedPageBreak/>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firstColumn="0" w:firstRow="0" w:lastColumn="0" w:lastRow="0" w:noHBand="0" w:noVBand="0"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94</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r w:rsidR="002E040C" w:rsidRPr="000E4C40">
              <w:rPr>
                <w:color w:val="000000"/>
                <w:sz w:val="24"/>
              </w:rPr>
              <w:t/>
            </w:r>
            <w:r w:rsidRPr="000E4C40">
              <w:rPr>
                <w:color w:val="000000"/>
                <w:sz w:val="24"/>
              </w:rPr>
              <w:t>94</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43</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本基金本报告期内投资组合平均剩余期限未超过120天。</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firstColumn="0" w:firstRow="0" w:lastColumn="0" w:lastRow="0" w:noHBand="0" w:noVBand="0" w:val="0000"/>
      </w:tblPr>
      <w:tblGrid>
        <w:gridCol w:w="829"/>
        <w:gridCol w:w="3240"/>
        <w:gridCol w:w="2447"/>
        <w:gridCol w:w="2352"/>
      </w:tblGrid>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10.23</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1.09</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28.38</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34.20</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0.17</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27.82</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center"/>
              <w:rPr>
                <w:color w:val="000000"/>
                <w:sz w:val="24"/>
              </w:rPr>
            </w:pPr>
            <w:r>
              <w:rPr>
                <w:rFonts w:hint="eastAsia"/>
                <w:color w:val="000000"/>
                <w:sz w:val="24"/>
              </w:rPr>
              <w:t>6</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100.80</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1.09</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P="00281564" w:rsidR="00F046FB" w:rsidRDefault="00F046FB" w:rsidRPr="00F046FB">
      <w:pPr>
        <w:spacing w:before="29" w:line="288" w:lineRule="auto"/>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P="00FE3EEE" w:rsidR="00FE3EEE" w:rsidRDefault="00FE3EEE" w:rsidRPr="00FE3EEE">
      <w:pPr>
        <w:spacing w:before="29" w:line="288" w:lineRule="auto"/>
        <w:jc w:val="right"/>
        <w:rPr>
          <w:color w:val="000000"/>
          <w:kern w:val="0"/>
          <w:sz w:val="24"/>
        </w:rPr>
      </w:pPr>
      <w:r w:rsidRPr="00FE3EEE">
        <w:rPr>
          <w:rFonts w:hint="eastAsia"/>
          <w:color w:val="000000"/>
          <w:kern w:val="0"/>
          <w:sz w:val="24"/>
        </w:rPr>
        <w:t/>
      </w:r>
      <w:r w:rsidRPr="00FE3EEE">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
        </w:tc>
        <w:tc>
          <w:tcPr>
            <w:tcW w:type="dxa" w:w="3097"/>
            <w:vAlign w:val="center"/>
          </w:tcPr>
          <w:p w:rsidP="00281564" w:rsidR="007521F9" w:rsidRDefault="00FE3EEE" w:rsidRPr="000E4C40">
            <w:pPr>
              <w:spacing w:before="29" w:line="288" w:lineRule="auto"/>
              <w:ind w:left="17"/>
              <w:jc w:val="center"/>
              <w:rPr>
                <w:color w:val="000000"/>
                <w:sz w:val="24"/>
              </w:rPr>
            </w:pPr>
            <w:r>
              <w:rPr>
                <w:rFonts w:hAnsi="宋体"/>
                <w:sz w:val="24"/>
              </w:rPr>
              <w:t>摊余成本</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1,344,672,528.16</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3.72</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630,270,485.61</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1.74</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630,270,485.61</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1.74</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50,108,252.76</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0.14</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5,931,521,233.50</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16.39</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202,566,009.45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0.56</w:t>
            </w:r>
          </w:p>
        </w:tc>
      </w:tr>
      <w:tr w:rsidR="00F41AA6" w:rsidRPr="000E4C40" w:rsidTr="00FE3EEE">
        <w:trPr>
          <w:jc w:val="center"/>
        </w:trPr>
        <w:tc>
          <w:tcPr>
            <w:tcW w:type="dxa" w:w="786"/>
            <w:vAlign w:val="center"/>
          </w:tcPr>
          <w:p w:rsidP="00FE3EEE"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FE3EEE"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11,707,078,519.29</w:t>
            </w:r>
          </w:p>
        </w:tc>
        <w:tc>
          <w:tcPr>
            <w:tcW w:type="dxa" w:w="1889"/>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32.35</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Pr="000E4C40">
              <w:rPr>
                <w:color w:val="000000"/>
                <w:sz w:val="24"/>
              </w:rPr>
              <w:lastRenderedPageBreak/>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lastRenderedPageBreak/>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19,866,217,028.77</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54.90</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P="00E5775C" w:rsidR="00E5775C" w:rsidRDefault="00E5775C" w:rsidRPr="00E5775C">
      <w:pPr>
        <w:spacing w:before="29" w:line="288" w:lineRule="auto"/>
        <w:jc w:val="right"/>
        <w:rPr>
          <w:color w:val="000000"/>
          <w:kern w:val="0"/>
          <w:sz w:val="24"/>
        </w:rPr>
      </w:pPr>
      <w:r w:rsidRPr="00E5775C">
        <w:rPr>
          <w:rFonts w:hint="eastAsia"/>
          <w:color w:val="000000"/>
          <w:kern w:val="0"/>
          <w:sz w:val="24"/>
        </w:rPr>
        <w:t/>
      </w:r>
      <w:r w:rsidRPr="00E5775C">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240"/>
        <w:gridCol w:w="1381"/>
        <w:gridCol w:w="1353"/>
        <w:gridCol w:w="1713"/>
        <w:gridCol w:w="1405"/>
        <w:gridCol w:w="2210"/>
      </w:tblGrid>
      <w:tr w:rsidR="00FC3236" w:rsidRPr="000E4C40" w:rsidTr="00FC3236">
        <w:trPr>
          <w:jc w:val="center"/>
        </w:trPr>
        <w:tc>
          <w:tcPr>
            <w:tcW w:type="dxa" w:w="118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39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35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745"/>
            <w:vAlign w:val="center"/>
          </w:tcPr>
          <w:p w:rsidP="00FC3236"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type="dxa" w:w="1435"/>
            <w:vAlign w:val="center"/>
          </w:tcPr>
          <w:p w:rsidP="00281564" w:rsidR="00343648" w:rsidRDefault="00501830"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type="dxa" w:w="2186"/>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199937</w:t>
            </w:r>
          </w:p>
        </w:tc>
        <w:tc>
          <w:tcPr>
            <w:vAlign w:val="center"/>
          </w:tcPr>
          <w:p>
            <w:pPr>
              <w:jc w:val="center"/>
            </w:pPr>
            <w:r>
              <w:rPr>
                <w:color w:val="000000"/>
                <w:sz w:val="24"/>
              </w:rPr>
              <w:t>19贴现国债37</w:t>
            </w:r>
          </w:p>
        </w:tc>
        <w:tc>
          <w:tcPr>
            <w:vAlign w:val="center"/>
          </w:tcPr>
          <w:p>
            <w:pPr>
              <w:jc w:val="right"/>
            </w:pPr>
            <w:r>
              <w:rPr>
                <w:color w:val="000000"/>
                <w:sz w:val="24"/>
              </w:rPr>
              <w:t>6,500,000</w:t>
            </w:r>
          </w:p>
        </w:tc>
        <w:tc>
          <w:tcPr>
            <w:vAlign w:val="center"/>
          </w:tcPr>
          <w:p>
            <w:pPr>
              <w:jc w:val="right"/>
            </w:pPr>
            <w:r>
              <w:rPr>
                <w:color w:val="000000"/>
                <w:sz w:val="24"/>
              </w:rPr>
              <w:t>647,407,884.45</w:t>
            </w:r>
          </w:p>
        </w:tc>
        <w:tc>
          <w:tcPr>
            <w:vAlign w:val="center"/>
          </w:tcPr>
          <w:p>
            <w:pPr>
              <w:jc w:val="right"/>
            </w:pPr>
            <w:r>
              <w:rPr>
                <w:color w:val="000000"/>
                <w:sz w:val="24"/>
              </w:rPr>
              <w:t>1.79</w:t>
            </w:r>
          </w:p>
        </w:tc>
      </w:tr>
      <w:tr>
        <w:tc>
          <w:tcPr>
            <w:vAlign w:val="center"/>
          </w:tcPr>
          <w:p>
            <w:pPr>
              <w:jc w:val="center"/>
            </w:pPr>
            <w:r>
              <w:rPr>
                <w:color w:val="000000"/>
                <w:sz w:val="24"/>
              </w:rPr>
              <w:t>2</w:t>
            </w:r>
          </w:p>
        </w:tc>
        <w:tc>
          <w:tcPr>
            <w:vAlign w:val="center"/>
          </w:tcPr>
          <w:p>
            <w:pPr>
              <w:jc w:val="center"/>
            </w:pPr>
            <w:r>
              <w:rPr>
                <w:color w:val="000000"/>
                <w:sz w:val="24"/>
              </w:rPr>
              <w:t>180410</w:t>
            </w:r>
          </w:p>
        </w:tc>
        <w:tc>
          <w:tcPr>
            <w:vAlign w:val="center"/>
          </w:tcPr>
          <w:p>
            <w:pPr>
              <w:jc w:val="center"/>
            </w:pPr>
            <w:r>
              <w:rPr>
                <w:color w:val="000000"/>
                <w:sz w:val="24"/>
              </w:rPr>
              <w:t>18农发10</w:t>
            </w:r>
          </w:p>
        </w:tc>
        <w:tc>
          <w:tcPr>
            <w:vAlign w:val="center"/>
          </w:tcPr>
          <w:p>
            <w:pPr>
              <w:jc w:val="right"/>
            </w:pPr>
            <w:r>
              <w:rPr>
                <w:color w:val="000000"/>
                <w:sz w:val="24"/>
              </w:rPr>
              <w:t>4,300,000</w:t>
            </w:r>
          </w:p>
        </w:tc>
        <w:tc>
          <w:tcPr>
            <w:vAlign w:val="center"/>
          </w:tcPr>
          <w:p>
            <w:pPr>
              <w:jc w:val="right"/>
            </w:pPr>
            <w:r>
              <w:rPr>
                <w:color w:val="000000"/>
                <w:sz w:val="24"/>
              </w:rPr>
              <w:t>430,065,254.22</w:t>
            </w:r>
          </w:p>
        </w:tc>
        <w:tc>
          <w:tcPr>
            <w:vAlign w:val="center"/>
          </w:tcPr>
          <w:p>
            <w:pPr>
              <w:jc w:val="right"/>
            </w:pPr>
            <w:r>
              <w:rPr>
                <w:color w:val="000000"/>
                <w:sz w:val="24"/>
              </w:rPr>
              <w:t>1.19</w:t>
            </w:r>
          </w:p>
        </w:tc>
      </w:tr>
      <w:tr>
        <w:tc>
          <w:tcPr>
            <w:vAlign w:val="center"/>
          </w:tcPr>
          <w:p>
            <w:pPr>
              <w:jc w:val="center"/>
            </w:pPr>
            <w:r>
              <w:rPr>
                <w:color w:val="000000"/>
                <w:sz w:val="24"/>
              </w:rPr>
              <w:t>3</w:t>
            </w:r>
          </w:p>
        </w:tc>
        <w:tc>
          <w:tcPr>
            <w:vAlign w:val="center"/>
          </w:tcPr>
          <w:p>
            <w:pPr>
              <w:jc w:val="center"/>
            </w:pPr>
            <w:r>
              <w:rPr>
                <w:color w:val="000000"/>
                <w:sz w:val="24"/>
              </w:rPr>
              <w:t>011901697</w:t>
            </w:r>
          </w:p>
        </w:tc>
        <w:tc>
          <w:tcPr>
            <w:vAlign w:val="center"/>
          </w:tcPr>
          <w:p>
            <w:pPr>
              <w:jc w:val="center"/>
            </w:pPr>
            <w:r>
              <w:rPr>
                <w:color w:val="000000"/>
                <w:sz w:val="24"/>
              </w:rPr>
              <w:t>19中车SCP008</w:t>
            </w:r>
          </w:p>
        </w:tc>
        <w:tc>
          <w:tcPr>
            <w:vAlign w:val="center"/>
          </w:tcPr>
          <w:p>
            <w:pPr>
              <w:jc w:val="right"/>
            </w:pPr>
            <w:r>
              <w:rPr>
                <w:color w:val="000000"/>
                <w:sz w:val="24"/>
              </w:rPr>
              <w:t>4,000,000</w:t>
            </w:r>
          </w:p>
        </w:tc>
        <w:tc>
          <w:tcPr>
            <w:vAlign w:val="center"/>
          </w:tcPr>
          <w:p>
            <w:pPr>
              <w:jc w:val="right"/>
            </w:pPr>
            <w:r>
              <w:rPr>
                <w:color w:val="000000"/>
                <w:sz w:val="24"/>
              </w:rPr>
              <w:t>400,130,450.48</w:t>
            </w:r>
          </w:p>
        </w:tc>
        <w:tc>
          <w:tcPr>
            <w:vAlign w:val="center"/>
          </w:tcPr>
          <w:p>
            <w:pPr>
              <w:jc w:val="right"/>
            </w:pPr>
            <w:r>
              <w:rPr>
                <w:color w:val="000000"/>
                <w:sz w:val="24"/>
              </w:rPr>
              <w:t>1.11</w:t>
            </w:r>
          </w:p>
        </w:tc>
      </w:tr>
      <w:tr>
        <w:tc>
          <w:tcPr>
            <w:vAlign w:val="center"/>
          </w:tcPr>
          <w:p>
            <w:pPr>
              <w:jc w:val="center"/>
            </w:pPr>
            <w:r>
              <w:rPr>
                <w:color w:val="000000"/>
                <w:sz w:val="24"/>
              </w:rPr>
              <w:t>4</w:t>
            </w:r>
          </w:p>
        </w:tc>
        <w:tc>
          <w:tcPr>
            <w:vAlign w:val="center"/>
          </w:tcPr>
          <w:p>
            <w:pPr>
              <w:jc w:val="center"/>
            </w:pPr>
            <w:r>
              <w:rPr>
                <w:color w:val="000000"/>
                <w:sz w:val="24"/>
              </w:rPr>
              <w:t>011901986</w:t>
            </w:r>
          </w:p>
        </w:tc>
        <w:tc>
          <w:tcPr>
            <w:vAlign w:val="center"/>
          </w:tcPr>
          <w:p>
            <w:pPr>
              <w:jc w:val="center"/>
            </w:pPr>
            <w:r>
              <w:rPr>
                <w:color w:val="000000"/>
                <w:sz w:val="24"/>
              </w:rPr>
              <w:t>19大唐发电SCP004</w:t>
            </w:r>
          </w:p>
        </w:tc>
        <w:tc>
          <w:tcPr>
            <w:vAlign w:val="center"/>
          </w:tcPr>
          <w:p>
            <w:pPr>
              <w:jc w:val="right"/>
            </w:pPr>
            <w:r>
              <w:rPr>
                <w:color w:val="000000"/>
                <w:sz w:val="24"/>
              </w:rPr>
              <w:t>4,000,000</w:t>
            </w:r>
          </w:p>
        </w:tc>
        <w:tc>
          <w:tcPr>
            <w:vAlign w:val="center"/>
          </w:tcPr>
          <w:p>
            <w:pPr>
              <w:jc w:val="right"/>
            </w:pPr>
            <w:r>
              <w:rPr>
                <w:color w:val="000000"/>
                <w:sz w:val="24"/>
              </w:rPr>
              <w:t>399,782,392.63</w:t>
            </w:r>
          </w:p>
        </w:tc>
        <w:tc>
          <w:tcPr>
            <w:vAlign w:val="center"/>
          </w:tcPr>
          <w:p>
            <w:pPr>
              <w:jc w:val="right"/>
            </w:pPr>
            <w:r>
              <w:rPr>
                <w:color w:val="000000"/>
                <w:sz w:val="24"/>
              </w:rPr>
              <w:t>1.10</w:t>
            </w:r>
          </w:p>
        </w:tc>
      </w:tr>
      <w:tr>
        <w:tc>
          <w:tcPr>
            <w:vAlign w:val="center"/>
          </w:tcPr>
          <w:p>
            <w:pPr>
              <w:jc w:val="center"/>
            </w:pPr>
            <w:r>
              <w:rPr>
                <w:color w:val="000000"/>
                <w:sz w:val="24"/>
              </w:rPr>
              <w:t>5</w:t>
            </w:r>
          </w:p>
        </w:tc>
        <w:tc>
          <w:tcPr>
            <w:vAlign w:val="center"/>
          </w:tcPr>
          <w:p>
            <w:pPr>
              <w:jc w:val="center"/>
            </w:pPr>
            <w:r>
              <w:rPr>
                <w:color w:val="000000"/>
                <w:sz w:val="24"/>
              </w:rPr>
              <w:t>011901385</w:t>
            </w:r>
          </w:p>
        </w:tc>
        <w:tc>
          <w:tcPr>
            <w:vAlign w:val="center"/>
          </w:tcPr>
          <w:p>
            <w:pPr>
              <w:jc w:val="center"/>
            </w:pPr>
            <w:r>
              <w:rPr>
                <w:color w:val="000000"/>
                <w:sz w:val="24"/>
              </w:rPr>
              <w:t>19电网SCP005</w:t>
            </w:r>
          </w:p>
        </w:tc>
        <w:tc>
          <w:tcPr>
            <w:vAlign w:val="center"/>
          </w:tcPr>
          <w:p>
            <w:pPr>
              <w:jc w:val="right"/>
            </w:pPr>
            <w:r>
              <w:rPr>
                <w:color w:val="000000"/>
                <w:sz w:val="24"/>
              </w:rPr>
              <w:t>3,500,000</w:t>
            </w:r>
          </w:p>
        </w:tc>
        <w:tc>
          <w:tcPr>
            <w:vAlign w:val="center"/>
          </w:tcPr>
          <w:p>
            <w:pPr>
              <w:jc w:val="right"/>
            </w:pPr>
            <w:r>
              <w:rPr>
                <w:color w:val="000000"/>
                <w:sz w:val="24"/>
              </w:rPr>
              <w:t>350,014,879.42</w:t>
            </w:r>
          </w:p>
        </w:tc>
        <w:tc>
          <w:tcPr>
            <w:vAlign w:val="center"/>
          </w:tcPr>
          <w:p>
            <w:pPr>
              <w:jc w:val="right"/>
            </w:pPr>
            <w:r>
              <w:rPr>
                <w:color w:val="000000"/>
                <w:sz w:val="24"/>
              </w:rPr>
              <w:t>0.97</w:t>
            </w:r>
          </w:p>
        </w:tc>
      </w:tr>
      <w:tr>
        <w:tc>
          <w:tcPr>
            <w:vAlign w:val="center"/>
          </w:tcPr>
          <w:p>
            <w:pPr>
              <w:jc w:val="center"/>
            </w:pPr>
            <w:r>
              <w:rPr>
                <w:color w:val="000000"/>
                <w:sz w:val="24"/>
              </w:rPr>
              <w:t>6</w:t>
            </w:r>
          </w:p>
        </w:tc>
        <w:tc>
          <w:tcPr>
            <w:vAlign w:val="center"/>
          </w:tcPr>
          <w:p>
            <w:pPr>
              <w:jc w:val="center"/>
            </w:pPr>
            <w:r>
              <w:rPr>
                <w:color w:val="000000"/>
                <w:sz w:val="24"/>
              </w:rPr>
              <w:t>111981072</w:t>
            </w:r>
          </w:p>
        </w:tc>
        <w:tc>
          <w:tcPr>
            <w:vAlign w:val="center"/>
          </w:tcPr>
          <w:p>
            <w:pPr>
              <w:jc w:val="center"/>
            </w:pPr>
            <w:r>
              <w:rPr>
                <w:color w:val="000000"/>
                <w:sz w:val="24"/>
              </w:rPr>
              <w:t>19广州农村商业银行CD077</w:t>
            </w:r>
          </w:p>
        </w:tc>
        <w:tc>
          <w:tcPr>
            <w:vAlign w:val="center"/>
          </w:tcPr>
          <w:p>
            <w:pPr>
              <w:jc w:val="right"/>
            </w:pPr>
            <w:r>
              <w:rPr>
                <w:color w:val="000000"/>
                <w:sz w:val="24"/>
              </w:rPr>
              <w:t>3,500,000</w:t>
            </w:r>
          </w:p>
        </w:tc>
        <w:tc>
          <w:tcPr>
            <w:vAlign w:val="center"/>
          </w:tcPr>
          <w:p>
            <w:pPr>
              <w:jc w:val="right"/>
            </w:pPr>
            <w:r>
              <w:rPr>
                <w:color w:val="000000"/>
                <w:sz w:val="24"/>
              </w:rPr>
              <w:t>347,747,062.10</w:t>
            </w:r>
          </w:p>
        </w:tc>
        <w:tc>
          <w:tcPr>
            <w:vAlign w:val="center"/>
          </w:tcPr>
          <w:p>
            <w:pPr>
              <w:jc w:val="right"/>
            </w:pPr>
            <w:r>
              <w:rPr>
                <w:color w:val="000000"/>
                <w:sz w:val="24"/>
              </w:rPr>
              <w:t>0.96</w:t>
            </w:r>
          </w:p>
        </w:tc>
      </w:tr>
      <w:tr>
        <w:tc>
          <w:tcPr>
            <w:vAlign w:val="center"/>
          </w:tcPr>
          <w:p>
            <w:pPr>
              <w:jc w:val="center"/>
            </w:pPr>
            <w:r>
              <w:rPr>
                <w:color w:val="000000"/>
                <w:sz w:val="24"/>
              </w:rPr>
              <w:t>7</w:t>
            </w:r>
          </w:p>
        </w:tc>
        <w:tc>
          <w:tcPr>
            <w:vAlign w:val="center"/>
          </w:tcPr>
          <w:p>
            <w:pPr>
              <w:jc w:val="center"/>
            </w:pPr>
            <w:r>
              <w:rPr>
                <w:color w:val="000000"/>
                <w:sz w:val="24"/>
              </w:rPr>
              <w:t>111980079</w:t>
            </w:r>
          </w:p>
        </w:tc>
        <w:tc>
          <w:tcPr>
            <w:vAlign w:val="center"/>
          </w:tcPr>
          <w:p>
            <w:pPr>
              <w:jc w:val="center"/>
            </w:pPr>
            <w:r>
              <w:rPr>
                <w:color w:val="000000"/>
                <w:sz w:val="24"/>
              </w:rPr>
              <w:t>19东亚银行CD037</w:t>
            </w:r>
          </w:p>
        </w:tc>
        <w:tc>
          <w:tcPr>
            <w:vAlign w:val="center"/>
          </w:tcPr>
          <w:p>
            <w:pPr>
              <w:jc w:val="right"/>
            </w:pPr>
            <w:r>
              <w:rPr>
                <w:color w:val="000000"/>
                <w:sz w:val="24"/>
              </w:rPr>
              <w:t>3,500,000</w:t>
            </w:r>
          </w:p>
        </w:tc>
        <w:tc>
          <w:tcPr>
            <w:vAlign w:val="center"/>
          </w:tcPr>
          <w:p>
            <w:pPr>
              <w:jc w:val="right"/>
            </w:pPr>
            <w:r>
              <w:rPr>
                <w:color w:val="000000"/>
                <w:sz w:val="24"/>
              </w:rPr>
              <w:t>347,648,609.21</w:t>
            </w:r>
          </w:p>
        </w:tc>
        <w:tc>
          <w:tcPr>
            <w:vAlign w:val="center"/>
          </w:tcPr>
          <w:p>
            <w:pPr>
              <w:jc w:val="right"/>
            </w:pPr>
            <w:r>
              <w:rPr>
                <w:color w:val="000000"/>
                <w:sz w:val="24"/>
              </w:rPr>
              <w:t>0.96</w:t>
            </w:r>
          </w:p>
        </w:tc>
      </w:tr>
      <w:tr>
        <w:tc>
          <w:tcPr>
            <w:vAlign w:val="center"/>
          </w:tcPr>
          <w:p>
            <w:pPr>
              <w:jc w:val="center"/>
            </w:pPr>
            <w:r>
              <w:rPr>
                <w:color w:val="000000"/>
                <w:sz w:val="24"/>
              </w:rPr>
              <w:t>8</w:t>
            </w:r>
          </w:p>
        </w:tc>
        <w:tc>
          <w:tcPr>
            <w:vAlign w:val="center"/>
          </w:tcPr>
          <w:p>
            <w:pPr>
              <w:jc w:val="center"/>
            </w:pPr>
            <w:r>
              <w:rPr>
                <w:color w:val="000000"/>
                <w:sz w:val="24"/>
              </w:rPr>
              <w:t>111980241</w:t>
            </w:r>
          </w:p>
        </w:tc>
        <w:tc>
          <w:tcPr>
            <w:vAlign w:val="center"/>
          </w:tcPr>
          <w:p>
            <w:pPr>
              <w:jc w:val="center"/>
            </w:pPr>
            <w:r>
              <w:rPr>
                <w:color w:val="000000"/>
                <w:sz w:val="24"/>
              </w:rPr>
              <w:t>19贵阳银行CD079</w:t>
            </w:r>
          </w:p>
        </w:tc>
        <w:tc>
          <w:tcPr>
            <w:vAlign w:val="center"/>
          </w:tcPr>
          <w:p>
            <w:pPr>
              <w:jc w:val="right"/>
            </w:pPr>
            <w:r>
              <w:rPr>
                <w:color w:val="000000"/>
                <w:sz w:val="24"/>
              </w:rPr>
              <w:t>3,500,000</w:t>
            </w:r>
          </w:p>
        </w:tc>
        <w:tc>
          <w:tcPr>
            <w:vAlign w:val="center"/>
          </w:tcPr>
          <w:p>
            <w:pPr>
              <w:jc w:val="right"/>
            </w:pPr>
            <w:r>
              <w:rPr>
                <w:color w:val="000000"/>
                <w:sz w:val="24"/>
              </w:rPr>
              <w:t>347,640,005.85</w:t>
            </w:r>
          </w:p>
        </w:tc>
        <w:tc>
          <w:tcPr>
            <w:vAlign w:val="center"/>
          </w:tcPr>
          <w:p>
            <w:pPr>
              <w:jc w:val="right"/>
            </w:pPr>
            <w:r>
              <w:rPr>
                <w:color w:val="000000"/>
                <w:sz w:val="24"/>
              </w:rPr>
              <w:t>0.96</w:t>
            </w:r>
          </w:p>
        </w:tc>
      </w:tr>
      <w:tr>
        <w:tc>
          <w:tcPr>
            <w:vAlign w:val="center"/>
          </w:tcPr>
          <w:p>
            <w:pPr>
              <w:jc w:val="center"/>
            </w:pPr>
            <w:r>
              <w:rPr>
                <w:color w:val="000000"/>
                <w:sz w:val="24"/>
              </w:rPr>
              <w:t>9</w:t>
            </w:r>
          </w:p>
        </w:tc>
        <w:tc>
          <w:tcPr>
            <w:vAlign w:val="center"/>
          </w:tcPr>
          <w:p>
            <w:pPr>
              <w:jc w:val="center"/>
            </w:pPr>
            <w:r>
              <w:rPr>
                <w:color w:val="000000"/>
                <w:sz w:val="24"/>
              </w:rPr>
              <w:t>111988462</w:t>
            </w:r>
          </w:p>
        </w:tc>
        <w:tc>
          <w:tcPr>
            <w:vAlign w:val="center"/>
          </w:tcPr>
          <w:p>
            <w:pPr>
              <w:jc w:val="center"/>
            </w:pPr>
            <w:r>
              <w:rPr>
                <w:color w:val="000000"/>
                <w:sz w:val="24"/>
              </w:rPr>
              <w:t>19郑州银行CD205</w:t>
            </w:r>
          </w:p>
        </w:tc>
        <w:tc>
          <w:tcPr>
            <w:vAlign w:val="center"/>
          </w:tcPr>
          <w:p>
            <w:pPr>
              <w:jc w:val="right"/>
            </w:pPr>
            <w:r>
              <w:rPr>
                <w:color w:val="000000"/>
                <w:sz w:val="24"/>
              </w:rPr>
              <w:t>3,500,000</w:t>
            </w:r>
          </w:p>
        </w:tc>
        <w:tc>
          <w:tcPr>
            <w:vAlign w:val="center"/>
          </w:tcPr>
          <w:p>
            <w:pPr>
              <w:jc w:val="right"/>
            </w:pPr>
            <w:r>
              <w:rPr>
                <w:color w:val="000000"/>
                <w:sz w:val="24"/>
              </w:rPr>
              <w:t>345,291,507.91</w:t>
            </w:r>
          </w:p>
        </w:tc>
        <w:tc>
          <w:tcPr>
            <w:vAlign w:val="center"/>
          </w:tcPr>
          <w:p>
            <w:pPr>
              <w:jc w:val="right"/>
            </w:pPr>
            <w:r>
              <w:rPr>
                <w:color w:val="000000"/>
                <w:sz w:val="24"/>
              </w:rPr>
              <w:t>0.95</w:t>
            </w:r>
          </w:p>
        </w:tc>
      </w:tr>
      <w:tr>
        <w:tc>
          <w:tcPr>
            <w:vAlign w:val="center"/>
          </w:tcPr>
          <w:p>
            <w:pPr>
              <w:jc w:val="center"/>
            </w:pPr>
            <w:r>
              <w:rPr>
                <w:color w:val="000000"/>
                <w:sz w:val="24"/>
              </w:rPr>
              <w:t>10</w:t>
            </w:r>
          </w:p>
        </w:tc>
        <w:tc>
          <w:tcPr>
            <w:vAlign w:val="center"/>
          </w:tcPr>
          <w:p>
            <w:pPr>
              <w:jc w:val="center"/>
            </w:pPr>
            <w:r>
              <w:rPr>
                <w:color w:val="000000"/>
                <w:sz w:val="24"/>
              </w:rPr>
              <w:t>111913075</w:t>
            </w:r>
          </w:p>
        </w:tc>
        <w:tc>
          <w:tcPr>
            <w:vAlign w:val="center"/>
          </w:tcPr>
          <w:p>
            <w:pPr>
              <w:jc w:val="center"/>
            </w:pPr>
            <w:r>
              <w:rPr>
                <w:color w:val="000000"/>
                <w:sz w:val="24"/>
              </w:rPr>
              <w:t>19浙商银行CD075</w:t>
            </w:r>
          </w:p>
        </w:tc>
        <w:tc>
          <w:tcPr>
            <w:vAlign w:val="center"/>
          </w:tcPr>
          <w:p>
            <w:pPr>
              <w:jc w:val="right"/>
            </w:pPr>
            <w:r>
              <w:rPr>
                <w:color w:val="000000"/>
                <w:sz w:val="24"/>
              </w:rPr>
              <w:t>3,300,000</w:t>
            </w:r>
          </w:p>
        </w:tc>
        <w:tc>
          <w:tcPr>
            <w:vAlign w:val="center"/>
          </w:tcPr>
          <w:p>
            <w:pPr>
              <w:jc w:val="right"/>
            </w:pPr>
            <w:r>
              <w:rPr>
                <w:color w:val="000000"/>
                <w:sz w:val="24"/>
              </w:rPr>
              <w:t>325,667,207.80</w:t>
            </w:r>
          </w:p>
        </w:tc>
        <w:tc>
          <w:tcPr>
            <w:vAlign w:val="center"/>
          </w:tcPr>
          <w:p>
            <w:pPr>
              <w:jc w:val="right"/>
            </w:pPr>
            <w:r>
              <w:rPr>
                <w:color w:val="000000"/>
                <w:sz w:val="24"/>
              </w:rPr>
              <w:t>0.90</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firstColumn="0" w:firstRow="0" w:lastColumn="0" w:lastRow="0" w:noHBand="0" w:noVBand="0"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r w:rsidRPr="000E4C40">
              <w:rPr>
                <w:color w:val="000000"/>
                <w:sz w:val="24"/>
              </w:rPr>
              <w:lastRenderedPageBreak/>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0.0722%</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0.0148%</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0.0420%</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本基金本报告期内未存在正偏离度的绝对值达到0.50%情况。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E97D49" w:rsidR="00E97D49" w:rsidRDefault="00E97D49" w:rsidRPr="00E97D49">
      <w:pPr>
        <w:spacing w:before="29" w:line="288" w:lineRule="auto"/>
        <w:jc w:val="right"/>
        <w:rPr>
          <w:color w:val="000000"/>
          <w:kern w:val="0"/>
          <w:sz w:val="24"/>
        </w:rPr>
      </w:pPr>
      <w:r w:rsidRPr="00E97D49">
        <w:rPr>
          <w:rFonts w:hint="eastAsia"/>
          <w:color w:val="000000"/>
          <w:kern w:val="0"/>
          <w:sz w:val="24"/>
        </w:rPr>
        <w:t/>
      </w:r>
      <w:r w:rsidRPr="00E97D49">
        <w:rPr>
          <w:rFonts w:hint="eastAsia"/>
          <w:color w:val="000000"/>
          <w:kern w:val="0"/>
          <w:sz w:val="24"/>
        </w:rPr>
        <w:t>金额单位：人民币元</w:t>
      </w:r>
    </w:p>
    <w:tbl>
      <w:tblPr>
        <w:tblStyle w:val="aa"/>
        <w:tblW w:type="dxa" w:w="8868"/>
        <w:jc w:val="center"/>
        <w:tblCellMar>
          <w:top w:type="dxa" w:w="57"/>
          <w:bottom w:type="dxa" w:w="57"/>
        </w:tblCellMar>
        <w:tblLook w:firstColumn="1" w:firstRow="1" w:lastColumn="0" w:lastRow="0" w:noHBand="0" w:noVBand="1" w:val="04A0"/>
      </w:tblPr>
      <w:tblGrid>
        <w:gridCol w:w="1519"/>
        <w:gridCol w:w="1519"/>
        <w:gridCol w:w="1519"/>
        <w:gridCol w:w="1626"/>
        <w:gridCol w:w="1519"/>
        <w:gridCol w:w="1600"/>
      </w:tblGrid>
      <w:tr w:rsidR="00BF1111" w:rsidRPr="000E4C40" w:rsidTr="00B13F60">
        <w:trPr>
          <w:jc w:val="center"/>
        </w:trPr>
        <w:tc>
          <w:tcPr>
            <w:tcW w:type="dxa" w:w="1547"/>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type="dxa" w:w="1548"/>
            <w:vAlign w:val="center"/>
          </w:tcPr>
          <w:p w:rsidP="00187BE0" w:rsidR="00BF1111" w:rsidRDefault="00E269C1" w:rsidRPr="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p>
        </w:tc>
        <w:tc>
          <w:tcPr>
            <w:tcW w:type="dxa" w:w="1548"/>
            <w:vAlign w:val="center"/>
          </w:tcPr>
          <w:p w:rsidP="00281564" w:rsidR="00BF1111" w:rsidRDefault="00F6042F"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156794</w:t>
            </w:r>
          </w:p>
        </w:tc>
        <w:tc>
          <w:tcPr>
            <w:vAlign w:val="center"/>
          </w:tcPr>
          <w:p>
            <w:pPr>
              <w:jc w:val="center"/>
            </w:pPr>
            <w:r>
              <w:rPr>
                <w:color w:val="000000"/>
                <w:sz w:val="24"/>
              </w:rPr>
              <w:t>信泽01A2</w:t>
            </w:r>
          </w:p>
        </w:tc>
        <w:tc>
          <w:tcPr>
            <w:vAlign w:val="center"/>
          </w:tcPr>
          <w:p>
            <w:pPr>
              <w:jc w:val="right"/>
            </w:pPr>
            <w:r>
              <w:rPr>
                <w:color w:val="000000"/>
                <w:sz w:val="24"/>
              </w:rPr>
              <w:t>700,000</w:t>
            </w:r>
          </w:p>
        </w:tc>
        <w:tc>
          <w:tcPr>
            <w:vAlign w:val="center"/>
          </w:tcPr>
          <w:p>
            <w:pPr>
              <w:jc w:val="right"/>
            </w:pPr>
            <w:r>
              <w:rPr>
                <w:color w:val="000000"/>
                <w:sz w:val="24"/>
              </w:rPr>
              <w:t>70,021,000.00</w:t>
            </w:r>
          </w:p>
        </w:tc>
        <w:tc>
          <w:tcPr>
            <w:vAlign w:val="center"/>
          </w:tcPr>
          <w:p>
            <w:pPr>
              <w:jc w:val="right"/>
            </w:pPr>
            <w:r>
              <w:rPr>
                <w:color w:val="000000"/>
                <w:sz w:val="24"/>
              </w:rPr>
              <w:t>0.19</w:t>
            </w:r>
          </w:p>
        </w:tc>
      </w:tr>
      <w:tr>
        <w:tc>
          <w:tcPr>
            <w:vAlign w:val="center"/>
          </w:tcPr>
          <w:p>
            <w:pPr>
              <w:jc w:val="center"/>
            </w:pPr>
            <w:r>
              <w:rPr>
                <w:color w:val="000000"/>
                <w:sz w:val="24"/>
              </w:rPr>
              <w:t>2</w:t>
            </w:r>
          </w:p>
        </w:tc>
        <w:tc>
          <w:tcPr>
            <w:vAlign w:val="center"/>
          </w:tcPr>
          <w:p>
            <w:pPr>
              <w:jc w:val="center"/>
            </w:pPr>
            <w:r>
              <w:rPr>
                <w:color w:val="000000"/>
                <w:sz w:val="24"/>
              </w:rPr>
              <w:t>159531</w:t>
            </w:r>
          </w:p>
        </w:tc>
        <w:tc>
          <w:tcPr>
            <w:vAlign w:val="center"/>
          </w:tcPr>
          <w:p>
            <w:pPr>
              <w:jc w:val="center"/>
            </w:pPr>
            <w:r>
              <w:rPr>
                <w:color w:val="000000"/>
                <w:sz w:val="24"/>
              </w:rPr>
              <w:t>信泽04A1</w:t>
            </w:r>
          </w:p>
        </w:tc>
        <w:tc>
          <w:tcPr>
            <w:vAlign w:val="center"/>
          </w:tcPr>
          <w:p>
            <w:pPr>
              <w:jc w:val="right"/>
            </w:pPr>
            <w:r>
              <w:rPr>
                <w:color w:val="000000"/>
                <w:sz w:val="24"/>
              </w:rPr>
              <w:t>600,000</w:t>
            </w:r>
          </w:p>
        </w:tc>
        <w:tc>
          <w:tcPr>
            <w:vAlign w:val="center"/>
          </w:tcPr>
          <w:p>
            <w:pPr>
              <w:jc w:val="right"/>
            </w:pPr>
            <w:r>
              <w:rPr>
                <w:color w:val="000000"/>
                <w:sz w:val="24"/>
              </w:rPr>
              <w:t>59,994,000.00</w:t>
            </w:r>
          </w:p>
        </w:tc>
        <w:tc>
          <w:tcPr>
            <w:vAlign w:val="center"/>
          </w:tcPr>
          <w:p>
            <w:pPr>
              <w:jc w:val="right"/>
            </w:pPr>
            <w:r>
              <w:rPr>
                <w:color w:val="000000"/>
                <w:sz w:val="24"/>
              </w:rPr>
              <w:t>0.17</w:t>
            </w:r>
          </w:p>
        </w:tc>
      </w:tr>
      <w:tr>
        <w:tc>
          <w:tcPr>
            <w:vAlign w:val="center"/>
          </w:tcPr>
          <w:p>
            <w:pPr>
              <w:jc w:val="center"/>
            </w:pPr>
            <w:r>
              <w:rPr>
                <w:color w:val="000000"/>
                <w:sz w:val="24"/>
              </w:rPr>
              <w:t>3</w:t>
            </w:r>
          </w:p>
        </w:tc>
        <w:tc>
          <w:tcPr>
            <w:vAlign w:val="center"/>
          </w:tcPr>
          <w:p>
            <w:pPr>
              <w:jc w:val="center"/>
            </w:pPr>
            <w:r>
              <w:rPr>
                <w:color w:val="000000"/>
                <w:sz w:val="24"/>
              </w:rPr>
              <w:t>159180</w:t>
            </w:r>
          </w:p>
        </w:tc>
        <w:tc>
          <w:tcPr>
            <w:vAlign w:val="center"/>
          </w:tcPr>
          <w:p>
            <w:pPr>
              <w:jc w:val="center"/>
            </w:pPr>
            <w:r>
              <w:rPr>
                <w:color w:val="000000"/>
                <w:sz w:val="24"/>
              </w:rPr>
              <w:t>信泽02A1</w:t>
            </w:r>
          </w:p>
        </w:tc>
        <w:tc>
          <w:tcPr>
            <w:vAlign w:val="center"/>
          </w:tcPr>
          <w:p>
            <w:pPr>
              <w:jc w:val="right"/>
            </w:pPr>
            <w:r>
              <w:rPr>
                <w:color w:val="000000"/>
                <w:sz w:val="24"/>
              </w:rPr>
              <w:t>500,000</w:t>
            </w:r>
          </w:p>
        </w:tc>
        <w:tc>
          <w:tcPr>
            <w:vAlign w:val="center"/>
          </w:tcPr>
          <w:p>
            <w:pPr>
              <w:jc w:val="right"/>
            </w:pPr>
            <w:r>
              <w:rPr>
                <w:color w:val="000000"/>
                <w:sz w:val="24"/>
              </w:rPr>
              <w:t>50,030,000.00</w:t>
            </w:r>
          </w:p>
        </w:tc>
        <w:tc>
          <w:tcPr>
            <w:vAlign w:val="center"/>
          </w:tcPr>
          <w:p>
            <w:pPr>
              <w:jc w:val="right"/>
            </w:pPr>
            <w:r>
              <w:rPr>
                <w:color w:val="000000"/>
                <w:sz w:val="24"/>
              </w:rPr>
              <w:t>0.14</w:t>
            </w:r>
          </w:p>
        </w:tc>
      </w:tr>
    </w:tbl>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346DC3">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P="00930856" w:rsidR="00D40363" w:rsidRDefault="00D40363" w:rsidRPr="000E4C40">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346DC3">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P="00A53C6C" w:rsidR="00B6632C" w:rsidRDefault="00A53C6C" w:rsidRPr="00A53C6C">
      <w:pPr>
        <w:spacing w:before="29" w:line="288" w:lineRule="auto"/>
        <w:jc w:val="right"/>
        <w:rPr>
          <w:color w:val="000000"/>
          <w:kern w:val="0"/>
          <w:sz w:val="24"/>
        </w:rPr>
      </w:pPr>
      <w:r w:rsidRPr="00A53C6C">
        <w:rPr>
          <w:rFonts w:hint="eastAsia"/>
          <w:color w:val="000000"/>
          <w:kern w:val="0"/>
          <w:sz w:val="24"/>
        </w:rPr>
        <w:t/>
      </w:r>
      <w:r w:rsidRPr="00A53C6C">
        <w:rPr>
          <w:rFonts w:hint="eastAsia"/>
          <w:color w:val="000000"/>
          <w:kern w:val="0"/>
          <w:sz w:val="24"/>
        </w:rPr>
        <w:t>金额单位：人民币元</w:t>
      </w:r>
    </w:p>
    <w:tbl>
      <w:tblPr>
        <w:tblStyle w:val="aa"/>
        <w:tblW w:type="dxa" w:w="8868"/>
        <w:jc w:val="center"/>
        <w:tblLayout w:type="fixed"/>
        <w:tblLook w:firstColumn="1" w:firstRow="1" w:lastColumn="0" w:lastRow="0" w:noHBand="0" w:noVBand="1"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121,863,014.39</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293,707.00</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1,921.67</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122,158,643.06</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346DC3">
      <w:pPr>
        <w:spacing w:before="29" w:line="288" w:lineRule="auto"/>
        <w:rPr>
          <w:b/>
          <w:color w:val="000000"/>
          <w:kern w:val="0"/>
          <w:sz w:val="24"/>
        </w:rPr>
      </w:pPr>
      <w:bookmarkStart w:id="2" w:name="_GoBack"/>
      <w:r w:rsidRPr="00346DC3">
        <w:rPr>
          <w:b/>
          <w:color w:val="000000"/>
          <w:kern w:val="0"/>
          <w:sz w:val="24"/>
        </w:rPr>
        <w:t/>
      </w:r>
      <w:r w:rsidR="002304D5" w:rsidRPr="00346DC3">
        <w:rPr>
          <w:b/>
          <w:color w:val="000000"/>
          <w:kern w:val="0"/>
          <w:sz w:val="24"/>
        </w:rPr>
        <w:t>5.9.4</w:t>
      </w:r>
      <w:r w:rsidR="00DE7C60" w:rsidRPr="00346DC3">
        <w:rPr>
          <w:rFonts w:hAnsi="宋体"/>
          <w:b/>
          <w:color w:val="000000"/>
          <w:kern w:val="0"/>
          <w:sz w:val="24"/>
        </w:rPr>
        <w:t>投资组合报告附注的其他文字描述部分</w:t>
      </w:r>
    </w:p>
    <w:bookmarkEnd w:id="2"/>
    <w:p w:rsidP="00930856" w:rsidR="00452D31" w:rsidRDefault="00452D31" w:rsidRPr="000E4C40">
      <w:pPr>
        <w:spacing w:before="29" w:line="288" w:lineRule="auto"/>
        <w:rPr>
          <w:color w:val="000000"/>
          <w:sz w:val="24"/>
        </w:rPr>
      </w:pPr>
      <w:r w:rsidRPr="000E4C40">
        <w:rPr>
          <w:color w:val="000000"/>
          <w:sz w:val="24"/>
        </w:rPr>
        <w:t/>
      </w:r>
      <w:r w:rsidR="000C469F" w:rsidRPr="000E4C40">
        <w:rPr>
          <w:color w:val="000000"/>
          <w:sz w:val="24"/>
        </w:rPr>
        <w:t/>
      </w:r>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Pr="000E4C40">
              <w:rPr>
                <w:sz w:val="24"/>
              </w:rPr>
              <w:lastRenderedPageBreak/>
              <w:t/>
            </w:r>
            <w:r w:rsidR="00327FB0" w:rsidRPr="000E4C40">
              <w:rPr>
                <w:sz w:val="24"/>
              </w:rPr>
              <w:t/>
            </w:r>
            <w:r w:rsidRPr="000E4C40">
              <w:rPr>
                <w:sz w:val="24"/>
              </w:rPr>
              <w:t>交银活期通货币A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lastRenderedPageBreak/>
              <w:t/>
            </w:r>
            <w:r w:rsidRPr="000E4C40">
              <w:rPr>
                <w:sz w:val="24"/>
              </w:rPr>
              <w:t/>
            </w:r>
            <w:r w:rsidRPr="000E4C40">
              <w:rPr>
                <w:sz w:val="24"/>
              </w:rPr>
              <w:lastRenderedPageBreak/>
              <w:t/>
            </w:r>
            <w:r w:rsidR="00327FB0" w:rsidRPr="000E4C40">
              <w:rPr>
                <w:sz w:val="24"/>
              </w:rPr>
              <w:t/>
            </w:r>
            <w:r w:rsidR="000F78F3">
              <w:rPr>
                <w:sz w:val="24"/>
              </w:rPr>
              <w:t/>
            </w:r>
            <w:r w:rsidR="000F78F3">
              <w:rPr>
                <w:rFonts w:hint="eastAsia"/>
                <w:sz w:val="24"/>
              </w:rPr>
              <w:t/>
            </w:r>
            <w:r w:rsidRPr="000E4C40">
              <w:rPr>
                <w:sz w:val="24"/>
              </w:rPr>
              <w:t>交银活期通货币E</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17,651,547,192.33</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15,710,278,743.90</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16,285,906,956.38</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10,035,578,333.53</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17,188,840,148.73</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6,311,243,194.30</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16,748,613,999.98</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19,434,613,883.13</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r w:rsidR="00AA5B03" w:rsidRPr="000E4C40">
        <w:rPr>
          <w:color w:val="000000"/>
          <w:sz w:val="24"/>
        </w:rPr>
        <w:t xml:space="preserve">    2、如果本报告期间发生转换出、份额类别调整业务，则总赎回份额中包含该业务。</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firstColumn="0" w:firstRow="0" w:lastColumn="0" w:lastRow="0" w:noHBand="0" w:noVBand="0" w:val="0000"/>
      </w:tblPr>
      <w:tblGrid>
        <w:gridCol w:w="1454"/>
        <w:gridCol w:w="1678"/>
        <w:gridCol w:w="1249"/>
        <w:gridCol w:w="1544"/>
        <w:gridCol w:w="1670"/>
        <w:gridCol w:w="1273"/>
      </w:tblGrid>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序号</w:t>
            </w:r>
            <w:r w:rsidRPr="000E4C40">
              <w:rPr>
                <w:color w:val="000000"/>
                <w:kern w:val="0"/>
              </w:rPr>
              <w:t/>
            </w:r>
          </w:p>
        </w:tc>
        <w:tc>
          <w:tcPr>
            <w:tcW w:type="dxa" w:w="185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type="dxa" w:w="1370"/>
            <w:vAlign w:val="center"/>
          </w:tcPr>
          <w:p w:rsidP="00281564" w:rsidR="000F2DA3" w:rsidRDefault="000F2DA3" w:rsidRPr="000E4C40">
            <w:pPr>
              <w:adjustRightInd w:val="0"/>
              <w:snapToGrid w:val="0"/>
              <w:spacing w:before="29" w:line="288" w:lineRule="auto"/>
              <w:rPr>
                <w:color w:val="000000"/>
                <w:kern w:val="0"/>
                <w:sz w:val="24"/>
              </w:rPr>
            </w:pPr>
            <w:r w:rsidRPr="000E4C40">
              <w:rPr>
                <w:rFonts w:hAnsi="宋体"/>
                <w:color w:val="000000"/>
                <w:kern w:val="0"/>
                <w:sz w:val="24"/>
              </w:rPr>
              <w:t>交易日期</w:t>
            </w:r>
          </w:p>
        </w:tc>
        <w:tc>
          <w:tcPr>
            <w:tcW w:type="dxa" w:w="170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type="dxa" w:w="1842"/>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type="dxa" w:w="1397"/>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tc>
          <w:tcPr>
            <w:vAlign w:val="center"/>
          </w:tcPr>
          <w:p>
            <w:pPr>
              <w:jc w:val="center"/>
            </w:pPr>
            <w:r>
              <w:rPr>
                <w:color w:val="000000"/>
                <w:sz w:val="24"/>
              </w:rPr>
              <w:t>1</w:t>
            </w:r>
          </w:p>
        </w:tc>
        <w:tc>
          <w:tcPr>
            <w:vAlign w:val="center"/>
          </w:tcPr>
          <w:p>
            <w:pPr>
              <w:jc w:val="center"/>
            </w:pPr>
            <w:r>
              <w:rPr>
                <w:color w:val="000000"/>
                <w:sz w:val="24"/>
              </w:rPr>
              <w:t>E类份额红利再投</w:t>
            </w:r>
          </w:p>
        </w:tc>
        <w:tc>
          <w:tcPr>
            <w:vAlign w:val="center"/>
          </w:tcPr>
          <w:p>
            <w:pPr>
              <w:jc w:val="center"/>
            </w:pPr>
            <w:r>
              <w:rPr>
                <w:color w:val="000000"/>
                <w:sz w:val="24"/>
              </w:rPr>
              <w:t>-</w:t>
            </w:r>
          </w:p>
        </w:tc>
        <w:tc>
          <w:tcPr>
            <w:vAlign w:val="center"/>
          </w:tcPr>
          <w:p>
            <w:pPr>
              <w:jc w:val="right"/>
            </w:pPr>
            <w:r>
              <w:rPr>
                <w:color w:val="000000"/>
                <w:sz w:val="24"/>
              </w:rPr>
              <w:t>1,366,080.23</w:t>
            </w:r>
          </w:p>
        </w:tc>
        <w:tc>
          <w:tcPr>
            <w:vAlign w:val="center"/>
          </w:tcPr>
          <w:p>
            <w:pPr>
              <w:jc w:val="right"/>
            </w:pPr>
            <w:r>
              <w:rPr>
                <w:color w:val="000000"/>
                <w:sz w:val="24"/>
              </w:rPr>
              <w:t>1,366,080.23</w:t>
            </w:r>
          </w:p>
        </w:tc>
        <w:tc>
          <w:tcPr>
            <w:vAlign w:val="center"/>
          </w:tcPr>
          <w:p>
            <w:pPr>
              <w:jc w:val="center"/>
            </w:pPr>
            <w:r>
              <w:rPr>
                <w:color w:val="000000"/>
                <w:sz w:val="24"/>
              </w:rPr>
              <w:t>0.00%</w:t>
            </w:r>
          </w:p>
        </w:tc>
      </w:tr>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type="dxa" w:w="1851"/>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370"/>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701"/>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1,366,080.23</w:t>
            </w:r>
          </w:p>
        </w:tc>
        <w:tc>
          <w:tcPr>
            <w:tcW w:type="dxa" w:w="1842"/>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1,366,080.23</w:t>
            </w:r>
          </w:p>
        </w:tc>
        <w:tc>
          <w:tcPr>
            <w:tcW w:type="dxa" w:w="1397"/>
            <w:vAlign w:val="center"/>
          </w:tcPr>
          <w:p w:rsidP="00281564" w:rsidR="000F2DA3" w:rsidRDefault="000F2DA3" w:rsidRPr="000E4C40">
            <w:pPr>
              <w:adjustRightInd w:val="0"/>
              <w:snapToGrid w:val="0"/>
              <w:spacing w:before="29" w:line="288" w:lineRule="auto"/>
              <w:jc w:val="right"/>
              <w:rPr>
                <w:color w:val="0000FF"/>
                <w:kern w:val="0"/>
                <w:sz w:val="18"/>
              </w:rPr>
            </w:pPr>
          </w:p>
        </w:tc>
      </w:tr>
    </w:tbl>
    <w:p>
      <w:pPr>
        <w:autoSpaceDE w:val="0"/>
        <w:autoSpaceDN w:val="0"/>
        <w:adjustRightInd w:val="0"/>
        <w:spacing w:before="29" w:line="288" w:lineRule="auto"/>
        <w:jc w:val="left"/>
        <w:rPr>
          <w:color w:val="000000"/>
          <w:sz w:val="24"/>
        </w:rPr>
      </w:pPr>
      <w:r>
        <w:rPr>
          <w:color w:val="000000"/>
          <w:sz w:val="24"/>
        </w:rPr>
        <w:t>注：1、本基金管理人本报告期末持有本基金E类份额203,473,469.77份，占本基金期末E类基金总份额的1.05%，本基金管理人本报告期末持有本基金A类份额0.00份，占本基金期末A类基金总份额的0.00%。</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2、本基金收益分配按日结转份额。</w:t>
      </w:r>
    </w:p>
    <w:p w:rsidP="00281564" w:rsidR="0018245B" w:rsidRDefault="0018245B" w:rsidRPr="000E4C40">
      <w:pPr>
        <w:autoSpaceDE w:val="0"/>
        <w:autoSpaceDN w:val="0"/>
        <w:adjustRightInd w:val="0"/>
        <w:spacing w:before="29" w:line="288" w:lineRule="auto"/>
        <w:jc w:val="left"/>
        <w:rPr>
          <w:color w:val="000000"/>
          <w:sz w:val="24"/>
        </w:rPr>
      </w:pPr>
    </w:p>
    <w:p w:rsidP="00841EB4" w:rsidR="003D1E1A" w:rsidRDefault="003D1E1A">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lastRenderedPageBreak/>
        <w:t>§8  影响投资者决策的其他重要信息</w:t>
      </w:r>
    </w:p>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3D1E1A" w:rsidTr="003D1E1A">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type="dxa" w:w="993"/>
            <w:vMerge/>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2019/7/1-2019/9/30</w:t>
            </w:r>
          </w:p>
        </w:tc>
        <w:tc>
          <w:tcPr>
            <w:vAlign w:val="center"/>
          </w:tcPr>
          <w:p>
            <w:pPr>
              <w:jc w:val="center"/>
            </w:pPr>
            <w:r>
              <w:rPr>
                <w:rFonts w:ascii="宋体" w:hAnsi="宋体" w:hint="eastAsia"/>
                <w:color w:val="000000"/>
                <w:kern w:val="0"/>
                <w:szCs w:val="21"/>
              </w:rPr>
              <w:t>8,455,653,584.95</w:t>
            </w:r>
          </w:p>
        </w:tc>
        <w:tc>
          <w:tcPr>
            <w:vAlign w:val="center"/>
          </w:tcPr>
          <w:p>
            <w:pPr>
              <w:jc w:val="center"/>
            </w:pPr>
            <w:r>
              <w:rPr>
                <w:rFonts w:ascii="宋体" w:hAnsi="宋体" w:hint="eastAsia"/>
                <w:color w:val="000000"/>
                <w:kern w:val="0"/>
                <w:szCs w:val="21"/>
              </w:rPr>
              <w:t>56,774,698.14</w:t>
            </w:r>
          </w:p>
        </w:tc>
        <w:tc>
          <w:tcPr>
            <w:vAlign w:val="center"/>
          </w:tcPr>
          <w:p>
            <w:pPr>
              <w:jc w:val="center"/>
            </w:pPr>
            <w:r>
              <w:rPr>
                <w:rFonts w:ascii="宋体" w:hAnsi="宋体" w:hint="eastAsia"/>
                <w:color w:val="000000"/>
                <w:kern w:val="0"/>
                <w:szCs w:val="21"/>
              </w:rPr>
              <w:t>1,001,777,928.56</w:t>
            </w:r>
          </w:p>
        </w:tc>
        <w:tc>
          <w:tcPr>
            <w:vAlign w:val="center"/>
          </w:tcPr>
          <w:p>
            <w:pPr>
              <w:jc w:val="center"/>
            </w:pPr>
            <w:r>
              <w:rPr>
                <w:rFonts w:ascii="宋体" w:hAnsi="宋体" w:hint="eastAsia"/>
                <w:color w:val="000000"/>
                <w:kern w:val="0"/>
                <w:szCs w:val="21"/>
              </w:rPr>
              <w:t>7,510,650,354.53</w:t>
            </w:r>
          </w:p>
        </w:tc>
        <w:tc>
          <w:tcPr>
            <w:vAlign w:val="center"/>
          </w:tcPr>
          <w:p>
            <w:pPr>
              <w:jc w:val="center"/>
            </w:pPr>
            <w:r>
              <w:rPr>
                <w:rFonts w:ascii="宋体" w:hAnsi="宋体" w:hint="eastAsia"/>
                <w:color w:val="000000"/>
                <w:kern w:val="0"/>
                <w:szCs w:val="21"/>
              </w:rPr>
              <w:t>20.76%</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841EB4" w:rsidR="00C03EF8" w:rsidRDefault="009D74FC" w:rsidRPr="009268A2">
      <w:pPr>
        <w:pStyle w:val="1"/>
        <w:spacing w:after="312" w:afterLines="100" w:before="312"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9</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1、中国证监会准予交银施罗德活期通货币市场基金募集注册的文件； </w:t>
      </w:r>
    </w:p>
    <w:p>
      <w:pPr>
        <w:spacing w:before="29" w:line="288" w:lineRule="auto"/>
        <w:ind w:firstLine="480" w:firstLineChars="200"/>
        <w:rPr>
          <w:color w:val="000000"/>
          <w:sz w:val="24"/>
        </w:rPr>
      </w:pPr>
      <w:r>
        <w:rPr>
          <w:color w:val="000000"/>
          <w:sz w:val="24"/>
        </w:rPr>
        <w:t xml:space="preserve">2、《交银施罗德活期通货币市场基金基金合同》； </w:t>
      </w:r>
    </w:p>
    <w:p>
      <w:pPr>
        <w:spacing w:before="29" w:line="288" w:lineRule="auto"/>
        <w:ind w:firstLine="480" w:firstLineChars="200"/>
        <w:rPr>
          <w:color w:val="000000"/>
          <w:sz w:val="24"/>
        </w:rPr>
      </w:pPr>
      <w:r>
        <w:rPr>
          <w:color w:val="000000"/>
          <w:sz w:val="24"/>
        </w:rPr>
        <w:t xml:space="preserve">3、《交银施罗德活期通货币市场基金招募说明书》； </w:t>
      </w:r>
    </w:p>
    <w:p>
      <w:pPr>
        <w:spacing w:before="29" w:line="288" w:lineRule="auto"/>
        <w:ind w:firstLine="480" w:firstLineChars="200"/>
        <w:rPr>
          <w:color w:val="000000"/>
          <w:sz w:val="24"/>
        </w:rPr>
      </w:pPr>
      <w:r>
        <w:rPr>
          <w:color w:val="000000"/>
          <w:sz w:val="24"/>
        </w:rPr>
        <w:t xml:space="preserve">4、《交银施罗德活期通货币市场基金托管协议》； </w:t>
      </w:r>
    </w:p>
    <w:p>
      <w:pPr>
        <w:spacing w:before="29" w:line="288" w:lineRule="auto"/>
        <w:ind w:firstLine="480" w:firstLineChars="200"/>
        <w:rPr>
          <w:color w:val="000000"/>
          <w:sz w:val="24"/>
        </w:rPr>
      </w:pPr>
      <w:r>
        <w:rPr>
          <w:color w:val="000000"/>
          <w:sz w:val="24"/>
        </w:rPr>
        <w:t xml:space="preserve">5、关于申请募集注册交银施罗德活期通货币市场基金的法律意见书；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8、报告期内交银施罗德活期通货币市场基金在指定报刊上各项公告的原稿。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130" w:rsidRDefault="00EE2130">
      <w:r>
        <w:separator/>
      </w:r>
    </w:p>
  </w:endnote>
  <w:endnote w:type="continuationSeparator" w:id="0">
    <w:p w:rsidR="00EE2130" w:rsidRDefault="00EE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1D0DB0" w:rsidR="00FE3EEE" w:rsidRDefault="00FE3EEE" w:rsidRPr="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46DC3">
      <w:rPr>
        <w:noProof/>
        <w:kern w:val="0"/>
        <w:szCs w:val="21"/>
      </w:rPr>
      <w:t>18</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346DC3">
      <w:rPr>
        <w:noProof/>
        <w:kern w:val="0"/>
        <w:szCs w:val="21"/>
      </w:rPr>
      <w:t>23</w:t>
    </w:r>
    <w:r>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EE2130" w:rsidRDefault="00EE2130">
      <w:r>
        <w:separator/>
      </w:r>
    </w:p>
  </w:footnote>
  <w:footnote w:id="0" w:type="continuationSeparator">
    <w:p w:rsidR="00EE2130" w:rsidRDefault="00EE213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8379E2" w:rsidR="00FE3EEE" w:rsidRDefault="00FE3EEE" w:rsidRPr="00841EB4">
    <w:pPr>
      <w:pStyle w:val="a4"/>
      <w:pBdr>
        <w:bottom w:color="auto" w:space="0" w:sz="6" w:val="single"/>
      </w:pBdr>
      <w:jc w:val="right"/>
      <w:rPr>
        <w:sz w:val="24"/>
        <w:szCs w:val="24"/>
      </w:rPr>
    </w:pPr>
    <w:r w:rsidRPr="003E676C">
      <w:rPr>
        <w:sz w:val="24"/>
        <w:szCs w:val="24"/>
      </w:rPr>
      <w:t>交银施罗德活期通货币市场基金2019年第3季度报告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embedSystemFonts/>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15C4DA2-A388-404C-A21B-6B2BD1FD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23</Pages>
  <Words>3613</Words>
  <Characters>20597</Characters>
  <Application>Microsoft Office Word</Application>
  <DocSecurity>0</DocSecurity>
  <Lines>171</Lines>
  <Paragraphs>48</Paragraphs>
  <ScaleCrop>false</ScaleCrop>
  <Company>jysld</Company>
  <LinksUpToDate>false</LinksUpToDate>
  <CharactersWithSpaces>24162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业务系统</cp:lastModifiedBy>
  <cp:lastPrinted>2009-01-22T10:11:00Z</cp:lastPrinted>
  <dcterms:modified xsi:type="dcterms:W3CDTF">2019-08-22T08:33:00Z</dcterms:modified>
  <cp:revision>331</cp:revision>
</cp:coreProperties>
</file>