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交银施罗德荣鑫灵活配置混合型证券投资基金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2019年3月29日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348,016,478.97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沪深300指数收益率×50%+中债综合全价指数收益率×50%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12,477,401.78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9,031,934.74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375,978,078.22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2.47%</w:t>
            </w:r>
          </w:p>
        </w:tc>
        <w:tc>
          <w:tcPr>
            <w:vAlign w:val="center"/>
          </w:tcPr>
          <w:p>
            <w:pPr>
              <w:jc w:val="center"/>
            </w:pPr>
            <w:r>
              <w:rPr>
                <w:color w:val="000000"/>
                <w:sz w:val="24"/>
                <w:szCs w:val="24"/>
              </w:rPr>
              <w:t>0.25%</w:t>
            </w:r>
          </w:p>
        </w:tc>
        <w:tc>
          <w:tcPr>
            <w:vAlign w:val="center"/>
          </w:tcPr>
          <w:p>
            <w:pPr>
              <w:jc w:val="center"/>
            </w:pPr>
            <w:r>
              <w:rPr>
                <w:color w:val="000000"/>
                <w:sz w:val="24"/>
                <w:szCs w:val="24"/>
              </w:rPr>
              <w:t>0.16%</w:t>
            </w:r>
          </w:p>
        </w:tc>
        <w:tc>
          <w:tcPr>
            <w:vAlign w:val="center"/>
          </w:tcPr>
          <w:p>
            <w:pPr>
              <w:jc w:val="center"/>
            </w:pPr>
            <w:r>
              <w:rPr>
                <w:color w:val="000000"/>
                <w:sz w:val="24"/>
                <w:szCs w:val="24"/>
              </w:rPr>
              <w:t>0.48%</w:t>
            </w:r>
          </w:p>
        </w:tc>
        <w:tc>
          <w:tcPr>
            <w:vAlign w:val="center"/>
          </w:tcPr>
          <w:p>
            <w:pPr>
              <w:jc w:val="center"/>
            </w:pPr>
            <w:r>
              <w:rPr>
                <w:color w:val="000000"/>
                <w:sz w:val="24"/>
                <w:szCs w:val="24"/>
              </w:rPr>
              <w:t>2.31%</w:t>
            </w:r>
          </w:p>
        </w:tc>
        <w:tc>
          <w:tcPr>
            <w:vAlign w:val="center"/>
          </w:tcPr>
          <w:p>
            <w:pPr>
              <w:jc w:val="center"/>
            </w:pPr>
            <w:r>
              <w:rPr>
                <w:color w:val="000000"/>
                <w:sz w:val="24"/>
                <w:szCs w:val="24"/>
              </w:rPr>
              <w:t>-0.23%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交银施罗德荣鑫灵活配置混合型证券投资基金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2019年3月29日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鑫保本混合型证券投资基金转型而来。基金转型日为2019年3月29日，基金转型日至报告期期末，本基金转型时间未满一年。本基金的投资转型期为交银施罗德荣鑫保本混合型证券投资基金保本周期到期期间截止日的次日（即2019年3月29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7等事件催化下，债券市场收益率呈现快速下行，十年国债一度破3%。九月后，随着稳增长预期升温、通胀担忧加剧以及资金面紧平衡等因素出现，债券市场小幅调整。截至九月底，活跃十年国债收益率自七月初一路走低，八月中旬破3%，后再度小幅上行。</w:t>
      </w:r>
    </w:p>
    <w:p>
      <w:pPr>
        <w:spacing w:before="29" w:line="288" w:lineRule="auto"/>
        <w:ind w:firstLine="480" w:firstLineChars="200"/>
        <w:rPr>
          <w:color w:val="000000"/>
          <w:sz w:val="24"/>
          <w:szCs w:val="24"/>
        </w:rPr>
      </w:pPr>
      <w:r>
        <w:rPr>
          <w:color w:val="000000"/>
          <w:sz w:val="24"/>
          <w:szCs w:val="24"/>
        </w:rPr>
        <w:t>权益市场三季度呈现明显分化，大盘指数三季度收跌，但创业板指数则季内上涨逾7%。从行业看，TMT、医药及白酒板块明显上行，强周期板块则在报告期内收跌。</w:t>
      </w:r>
    </w:p>
    <w:p>
      <w:pPr>
        <w:spacing w:before="29" w:line="288" w:lineRule="auto"/>
        <w:ind w:firstLine="480" w:firstLineChars="200"/>
        <w:rPr>
          <w:color w:val="000000"/>
          <w:sz w:val="24"/>
          <w:szCs w:val="24"/>
        </w:rPr>
      </w:pPr>
      <w:r>
        <w:rPr>
          <w:color w:val="000000"/>
          <w:sz w:val="24"/>
          <w:szCs w:val="24"/>
        </w:rPr>
        <w:t>我们认为，三季度在经济下行压力下，债市存在配置机会，因此在季度初期的基金操作中，根据申赎及债市收益率变化积极增加底仓久期，底仓品种以中短等久期高等级信用品种为主。八月中后期，由于中短久期信用债收益率较低，融资成本有所抬升，基金适当放缓配置节奏。权益方面，基金积极关注新股发行动态，进行权益一级市场投资，同时也关注二级市场的投资机会，考虑到基金的回撤控制，基金底仓品种以高股息为主，适当增配部分低估值消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高等级信用品种，长端利率择机做波段操作，以期提升基金静态收益。权益方面，我们将继续积极关注权益市场一级投资机会，同时关注低估细分行业配置机会，以及中长期成长个股，努力为投资人取得稳定业绩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78,588,903.27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78,588,903.27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322,585,000.00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322,585,000.00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1,500,000.00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0.36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3,859,835.79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6,492,263.83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413,026,002.89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14,321,242.74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6,708,000.00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223,129.40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57,336,531.13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78,588,903.27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20.90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6,300,000</w:t>
            </w:r>
          </w:p>
        </w:tc>
        <w:tc>
          <w:tcPr>
            <w:vAlign w:val="center"/>
          </w:tcPr>
          <w:p>
            <w:pPr>
              <w:jc w:val="right"/>
            </w:pPr>
            <w:r>
              <w:rPr>
                <w:color w:val="000000"/>
                <w:sz w:val="24"/>
                <w:szCs w:val="24"/>
              </w:rPr>
              <w:t>21,798,000.00</w:t>
            </w:r>
          </w:p>
        </w:tc>
        <w:tc>
          <w:tcPr>
            <w:vAlign w:val="center"/>
          </w:tcPr>
          <w:p>
            <w:pPr>
              <w:jc w:val="right"/>
            </w:pPr>
            <w:r>
              <w:rPr>
                <w:color w:val="000000"/>
                <w:sz w:val="24"/>
                <w:szCs w:val="24"/>
              </w:rPr>
              <w:t>5.80</w:t>
            </w:r>
          </w:p>
        </w:tc>
      </w:tr>
      <w:tr>
        <w:tc>
          <w:tcPr>
            <w:vAlign w:val="center"/>
          </w:tcPr>
          <w:p>
            <w:pPr>
              <w:jc w:val="center"/>
            </w:pPr>
            <w:r>
              <w:rPr>
                <w:color w:val="000000"/>
                <w:sz w:val="24"/>
                <w:szCs w:val="24"/>
              </w:rPr>
              <w:t>2</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2,800,000</w:t>
            </w:r>
          </w:p>
        </w:tc>
        <w:tc>
          <w:tcPr>
            <w:vAlign w:val="center"/>
          </w:tcPr>
          <w:p>
            <w:pPr>
              <w:jc w:val="right"/>
            </w:pPr>
            <w:r>
              <w:rPr>
                <w:color w:val="000000"/>
                <w:sz w:val="24"/>
                <w:szCs w:val="24"/>
              </w:rPr>
              <w:t>15,484,000.00</w:t>
            </w:r>
          </w:p>
        </w:tc>
        <w:tc>
          <w:tcPr>
            <w:vAlign w:val="center"/>
          </w:tcPr>
          <w:p>
            <w:pPr>
              <w:jc w:val="right"/>
            </w:pPr>
            <w:r>
              <w:rPr>
                <w:color w:val="000000"/>
                <w:sz w:val="24"/>
                <w:szCs w:val="24"/>
              </w:rPr>
              <w:t>4.12</w:t>
            </w:r>
          </w:p>
        </w:tc>
      </w:tr>
      <w:tr>
        <w:tc>
          <w:tcPr>
            <w:vAlign w:val="center"/>
          </w:tcPr>
          <w:p>
            <w:pPr>
              <w:jc w:val="center"/>
            </w:pPr>
            <w:r>
              <w:rPr>
                <w:color w:val="000000"/>
                <w:sz w:val="24"/>
                <w:szCs w:val="24"/>
              </w:rPr>
              <w:t>3</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299,939</w:t>
            </w:r>
          </w:p>
        </w:tc>
        <w:tc>
          <w:tcPr>
            <w:vAlign w:val="center"/>
          </w:tcPr>
          <w:p>
            <w:pPr>
              <w:jc w:val="right"/>
            </w:pPr>
            <w:r>
              <w:rPr>
                <w:color w:val="000000"/>
                <w:sz w:val="24"/>
                <w:szCs w:val="24"/>
              </w:rPr>
              <w:t>14,598,031.13</w:t>
            </w:r>
          </w:p>
        </w:tc>
        <w:tc>
          <w:tcPr>
            <w:vAlign w:val="center"/>
          </w:tcPr>
          <w:p>
            <w:pPr>
              <w:jc w:val="right"/>
            </w:pPr>
            <w:r>
              <w:rPr>
                <w:color w:val="000000"/>
                <w:sz w:val="24"/>
                <w:szCs w:val="24"/>
              </w:rPr>
              <w:t>3.88</w:t>
            </w:r>
          </w:p>
        </w:tc>
      </w:tr>
      <w:tr>
        <w:tc>
          <w:tcPr>
            <w:vAlign w:val="center"/>
          </w:tcPr>
          <w:p>
            <w:pPr>
              <w:jc w:val="center"/>
            </w:pPr>
            <w:r>
              <w:rPr>
                <w:color w:val="000000"/>
                <w:sz w:val="24"/>
                <w:szCs w:val="24"/>
              </w:rPr>
              <w:t>4</w:t>
            </w:r>
          </w:p>
        </w:tc>
        <w:tc>
          <w:tcPr>
            <w:vAlign w:val="center"/>
          </w:tcPr>
          <w:p>
            <w:pPr>
              <w:jc w:val="center"/>
            </w:pPr>
            <w:r>
              <w:rPr>
                <w:color w:val="000000"/>
                <w:sz w:val="24"/>
                <w:szCs w:val="24"/>
              </w:rPr>
              <w:t>600104</w:t>
            </w:r>
          </w:p>
        </w:tc>
        <w:tc>
          <w:tcPr>
            <w:vAlign w:val="center"/>
          </w:tcPr>
          <w:p>
            <w:pPr>
              <w:jc w:val="center"/>
            </w:pPr>
            <w:r>
              <w:rPr>
                <w:color w:val="000000"/>
                <w:sz w:val="24"/>
                <w:szCs w:val="24"/>
              </w:rPr>
              <w:t>上汽集团</w:t>
            </w:r>
          </w:p>
        </w:tc>
        <w:tc>
          <w:tcPr>
            <w:vAlign w:val="center"/>
          </w:tcPr>
          <w:p>
            <w:pPr>
              <w:jc w:val="right"/>
            </w:pPr>
            <w:r>
              <w:rPr>
                <w:color w:val="000000"/>
                <w:sz w:val="24"/>
                <w:szCs w:val="24"/>
              </w:rPr>
              <w:t>599,995</w:t>
            </w:r>
          </w:p>
        </w:tc>
        <w:tc>
          <w:tcPr>
            <w:vAlign w:val="center"/>
          </w:tcPr>
          <w:p>
            <w:pPr>
              <w:jc w:val="right"/>
            </w:pPr>
            <w:r>
              <w:rPr>
                <w:color w:val="000000"/>
                <w:sz w:val="24"/>
                <w:szCs w:val="24"/>
              </w:rPr>
              <w:t>14,267,881.10</w:t>
            </w:r>
          </w:p>
        </w:tc>
        <w:tc>
          <w:tcPr>
            <w:vAlign w:val="center"/>
          </w:tcPr>
          <w:p>
            <w:pPr>
              <w:jc w:val="right"/>
            </w:pPr>
            <w:r>
              <w:rPr>
                <w:color w:val="000000"/>
                <w:sz w:val="24"/>
                <w:szCs w:val="24"/>
              </w:rPr>
              <w:t>3.79</w:t>
            </w:r>
          </w:p>
        </w:tc>
      </w:tr>
      <w:tr>
        <w:tc>
          <w:tcPr>
            <w:vAlign w:val="center"/>
          </w:tcPr>
          <w:p>
            <w:pPr>
              <w:jc w:val="center"/>
            </w:pPr>
            <w:r>
              <w:rPr>
                <w:color w:val="000000"/>
                <w:sz w:val="24"/>
                <w:szCs w:val="24"/>
              </w:rPr>
              <w:t>5</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195,000</w:t>
            </w:r>
          </w:p>
        </w:tc>
        <w:tc>
          <w:tcPr>
            <w:vAlign w:val="center"/>
          </w:tcPr>
          <w:p>
            <w:pPr>
              <w:jc w:val="right"/>
            </w:pPr>
            <w:r>
              <w:rPr>
                <w:color w:val="000000"/>
                <w:sz w:val="24"/>
                <w:szCs w:val="24"/>
              </w:rPr>
              <w:t>6,708,000.00</w:t>
            </w:r>
          </w:p>
        </w:tc>
        <w:tc>
          <w:tcPr>
            <w:vAlign w:val="center"/>
          </w:tcPr>
          <w:p>
            <w:pPr>
              <w:jc w:val="right"/>
            </w:pPr>
            <w:r>
              <w:rPr>
                <w:color w:val="000000"/>
                <w:sz w:val="24"/>
                <w:szCs w:val="24"/>
              </w:rPr>
              <w:t>1.78</w:t>
            </w:r>
          </w:p>
        </w:tc>
      </w:tr>
      <w:tr>
        <w:tc>
          <w:tcPr>
            <w:vAlign w:val="center"/>
          </w:tcPr>
          <w:p>
            <w:pPr>
              <w:jc w:val="center"/>
            </w:pPr>
            <w:r>
              <w:rPr>
                <w:color w:val="000000"/>
                <w:sz w:val="24"/>
                <w:szCs w:val="24"/>
              </w:rPr>
              <w:t>6</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350,000</w:t>
            </w:r>
          </w:p>
        </w:tc>
        <w:tc>
          <w:tcPr>
            <w:vAlign w:val="center"/>
          </w:tcPr>
          <w:p>
            <w:pPr>
              <w:jc w:val="right"/>
            </w:pPr>
            <w:r>
              <w:rPr>
                <w:color w:val="000000"/>
                <w:sz w:val="24"/>
                <w:szCs w:val="24"/>
              </w:rPr>
              <w:t>5,456,500.00</w:t>
            </w:r>
          </w:p>
        </w:tc>
        <w:tc>
          <w:tcPr>
            <w:vAlign w:val="center"/>
          </w:tcPr>
          <w:p>
            <w:pPr>
              <w:jc w:val="right"/>
            </w:pPr>
            <w:r>
              <w:rPr>
                <w:color w:val="000000"/>
                <w:sz w:val="24"/>
                <w:szCs w:val="24"/>
              </w:rPr>
              <w:t>1.45</w:t>
            </w:r>
          </w:p>
        </w:tc>
      </w:tr>
      <w:tr>
        <w:tc>
          <w:tcPr>
            <w:vAlign w:val="center"/>
          </w:tcPr>
          <w:p>
            <w:pPr>
              <w:jc w:val="center"/>
            </w:pPr>
            <w:r>
              <w:rPr>
                <w:color w:val="000000"/>
                <w:sz w:val="24"/>
                <w:szCs w:val="24"/>
              </w:rPr>
              <w:t>7</w:t>
            </w:r>
          </w:p>
        </w:tc>
        <w:tc>
          <w:tcPr>
            <w:vAlign w:val="center"/>
          </w:tcPr>
          <w:p>
            <w:pPr>
              <w:jc w:val="center"/>
            </w:pPr>
            <w:r>
              <w:rPr>
                <w:color w:val="000000"/>
                <w:sz w:val="24"/>
                <w:szCs w:val="24"/>
              </w:rPr>
              <w:t>688368</w:t>
            </w:r>
          </w:p>
        </w:tc>
        <w:tc>
          <w:tcPr>
            <w:vAlign w:val="center"/>
          </w:tcPr>
          <w:p>
            <w:pPr>
              <w:jc w:val="center"/>
            </w:pPr>
            <w:r>
              <w:rPr>
                <w:color w:val="000000"/>
                <w:sz w:val="24"/>
                <w:szCs w:val="24"/>
              </w:rPr>
              <w:t>晶丰明源</w:t>
            </w:r>
          </w:p>
        </w:tc>
        <w:tc>
          <w:tcPr>
            <w:vAlign w:val="center"/>
          </w:tcPr>
          <w:p>
            <w:pPr>
              <w:jc w:val="right"/>
            </w:pPr>
            <w:r>
              <w:rPr>
                <w:color w:val="000000"/>
                <w:sz w:val="24"/>
                <w:szCs w:val="24"/>
              </w:rPr>
              <w:t>2,557</w:t>
            </w:r>
          </w:p>
        </w:tc>
        <w:tc>
          <w:tcPr>
            <w:vAlign w:val="center"/>
          </w:tcPr>
          <w:p>
            <w:pPr>
              <w:jc w:val="right"/>
            </w:pPr>
            <w:r>
              <w:rPr>
                <w:color w:val="000000"/>
                <w:sz w:val="24"/>
                <w:szCs w:val="24"/>
              </w:rPr>
              <w:t>144,930.76</w:t>
            </w:r>
          </w:p>
        </w:tc>
        <w:tc>
          <w:tcPr>
            <w:vAlign w:val="center"/>
          </w:tcPr>
          <w:p>
            <w:pPr>
              <w:jc w:val="right"/>
            </w:pPr>
            <w:r>
              <w:rPr>
                <w:color w:val="000000"/>
                <w:sz w:val="24"/>
                <w:szCs w:val="24"/>
              </w:rPr>
              <w:t>0.04</w:t>
            </w:r>
          </w:p>
        </w:tc>
      </w:tr>
      <w:tr>
        <w:tc>
          <w:tcPr>
            <w:vAlign w:val="center"/>
          </w:tcPr>
          <w:p>
            <w:pPr>
              <w:jc w:val="center"/>
            </w:pPr>
            <w:r>
              <w:rPr>
                <w:color w:val="000000"/>
                <w:sz w:val="24"/>
                <w:szCs w:val="24"/>
              </w:rPr>
              <w:t>8</w:t>
            </w:r>
          </w:p>
        </w:tc>
        <w:tc>
          <w:tcPr>
            <w:vAlign w:val="center"/>
          </w:tcPr>
          <w:p>
            <w:pPr>
              <w:jc w:val="center"/>
            </w:pPr>
            <w:r>
              <w:rPr>
                <w:color w:val="000000"/>
                <w:sz w:val="24"/>
                <w:szCs w:val="24"/>
              </w:rPr>
              <w:t>603927</w:t>
            </w:r>
          </w:p>
        </w:tc>
        <w:tc>
          <w:tcPr>
            <w:vAlign w:val="center"/>
          </w:tcPr>
          <w:p>
            <w:pPr>
              <w:jc w:val="center"/>
            </w:pPr>
            <w:r>
              <w:rPr>
                <w:color w:val="000000"/>
                <w:sz w:val="24"/>
                <w:szCs w:val="24"/>
              </w:rPr>
              <w:t>中科软</w:t>
            </w:r>
          </w:p>
        </w:tc>
        <w:tc>
          <w:tcPr>
            <w:vAlign w:val="center"/>
          </w:tcPr>
          <w:p>
            <w:pPr>
              <w:jc w:val="right"/>
            </w:pPr>
            <w:r>
              <w:rPr>
                <w:color w:val="000000"/>
                <w:sz w:val="24"/>
                <w:szCs w:val="24"/>
              </w:rPr>
              <w:t>884</w:t>
            </w:r>
          </w:p>
        </w:tc>
        <w:tc>
          <w:tcPr>
            <w:vAlign w:val="center"/>
          </w:tcPr>
          <w:p>
            <w:pPr>
              <w:jc w:val="right"/>
            </w:pPr>
            <w:r>
              <w:rPr>
                <w:color w:val="000000"/>
                <w:sz w:val="24"/>
                <w:szCs w:val="24"/>
              </w:rPr>
              <w:t>78,198.64</w:t>
            </w:r>
          </w:p>
        </w:tc>
        <w:tc>
          <w:tcPr>
            <w:vAlign w:val="center"/>
          </w:tcPr>
          <w:p>
            <w:pPr>
              <w:jc w:val="right"/>
            </w:pPr>
            <w:r>
              <w:rPr>
                <w:color w:val="000000"/>
                <w:sz w:val="24"/>
                <w:szCs w:val="24"/>
              </w:rPr>
              <w:t>0.02</w:t>
            </w:r>
          </w:p>
        </w:tc>
      </w:tr>
      <w:tr>
        <w:tc>
          <w:tcPr>
            <w:vAlign w:val="center"/>
          </w:tcPr>
          <w:p>
            <w:pPr>
              <w:jc w:val="center"/>
            </w:pPr>
            <w:r>
              <w:rPr>
                <w:color w:val="000000"/>
                <w:sz w:val="24"/>
                <w:szCs w:val="24"/>
              </w:rPr>
              <w:t>9</w:t>
            </w:r>
          </w:p>
        </w:tc>
        <w:tc>
          <w:tcPr>
            <w:vAlign w:val="center"/>
          </w:tcPr>
          <w:p>
            <w:pPr>
              <w:jc w:val="center"/>
            </w:pPr>
            <w:r>
              <w:rPr>
                <w:color w:val="000000"/>
                <w:sz w:val="24"/>
                <w:szCs w:val="24"/>
              </w:rPr>
              <w:t>300790</w:t>
            </w:r>
          </w:p>
        </w:tc>
        <w:tc>
          <w:tcPr>
            <w:vAlign w:val="center"/>
          </w:tcPr>
          <w:p>
            <w:pPr>
              <w:jc w:val="center"/>
            </w:pPr>
            <w:r>
              <w:rPr>
                <w:color w:val="000000"/>
                <w:sz w:val="24"/>
                <w:szCs w:val="24"/>
              </w:rPr>
              <w:t>宇瞳光学</w:t>
            </w:r>
          </w:p>
        </w:tc>
        <w:tc>
          <w:tcPr>
            <w:vAlign w:val="center"/>
          </w:tcPr>
          <w:p>
            <w:pPr>
              <w:jc w:val="right"/>
            </w:pPr>
            <w:r>
              <w:rPr>
                <w:color w:val="000000"/>
                <w:sz w:val="24"/>
                <w:szCs w:val="24"/>
              </w:rPr>
              <w:t>671</w:t>
            </w:r>
          </w:p>
        </w:tc>
        <w:tc>
          <w:tcPr>
            <w:vAlign w:val="center"/>
          </w:tcPr>
          <w:p>
            <w:pPr>
              <w:jc w:val="right"/>
            </w:pPr>
            <w:r>
              <w:rPr>
                <w:color w:val="000000"/>
                <w:sz w:val="24"/>
                <w:szCs w:val="24"/>
              </w:rPr>
              <w:t>31,094.14</w:t>
            </w:r>
          </w:p>
        </w:tc>
        <w:tc>
          <w:tcPr>
            <w:vAlign w:val="center"/>
          </w:tcPr>
          <w:p>
            <w:pPr>
              <w:jc w:val="right"/>
            </w:pPr>
            <w:r>
              <w:rPr>
                <w:color w:val="000000"/>
                <w:sz w:val="24"/>
                <w:szCs w:val="24"/>
              </w:rPr>
              <w:t>0.01</w:t>
            </w:r>
          </w:p>
        </w:tc>
      </w:tr>
      <w:tr>
        <w:tc>
          <w:tcPr>
            <w:vAlign w:val="center"/>
          </w:tcPr>
          <w:p>
            <w:pPr>
              <w:jc w:val="center"/>
            </w:pPr>
            <w:r>
              <w:rPr>
                <w:color w:val="000000"/>
                <w:sz w:val="24"/>
                <w:szCs w:val="24"/>
              </w:rPr>
              <w:t>10</w:t>
            </w:r>
          </w:p>
        </w:tc>
        <w:tc>
          <w:tcPr>
            <w:vAlign w:val="center"/>
          </w:tcPr>
          <w:p>
            <w:pPr>
              <w:jc w:val="center"/>
            </w:pPr>
            <w:r>
              <w:rPr>
                <w:color w:val="000000"/>
                <w:sz w:val="24"/>
                <w:szCs w:val="24"/>
              </w:rPr>
              <w:t>603786</w:t>
            </w:r>
          </w:p>
        </w:tc>
        <w:tc>
          <w:tcPr>
            <w:vAlign w:val="center"/>
          </w:tcPr>
          <w:p>
            <w:pPr>
              <w:jc w:val="center"/>
            </w:pPr>
            <w:r>
              <w:rPr>
                <w:color w:val="000000"/>
                <w:sz w:val="24"/>
                <w:szCs w:val="24"/>
              </w:rPr>
              <w:t>科博达</w:t>
            </w:r>
          </w:p>
        </w:tc>
        <w:tc>
          <w:tcPr>
            <w:vAlign w:val="center"/>
          </w:tcPr>
          <w:p>
            <w:pPr>
              <w:jc w:val="right"/>
            </w:pPr>
            <w:r>
              <w:rPr>
                <w:color w:val="000000"/>
                <w:sz w:val="24"/>
                <w:szCs w:val="24"/>
              </w:rPr>
              <w:t>816</w:t>
            </w:r>
          </w:p>
        </w:tc>
        <w:tc>
          <w:tcPr>
            <w:vAlign w:val="center"/>
          </w:tcPr>
          <w:p>
            <w:pPr>
              <w:jc w:val="right"/>
            </w:pPr>
            <w:r>
              <w:rPr>
                <w:color w:val="000000"/>
                <w:sz w:val="24"/>
                <w:szCs w:val="24"/>
              </w:rPr>
              <w:t>21,942.24</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19,228,000.00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19,228,000.00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110,768,000.00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29.46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192,529,000.00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51.21</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322,585,000.00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85.80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190,000</w:t>
            </w:r>
          </w:p>
        </w:tc>
        <w:tc>
          <w:tcPr>
            <w:vAlign w:val="center"/>
          </w:tcPr>
          <w:p>
            <w:pPr>
              <w:jc w:val="right"/>
            </w:pPr>
            <w:r>
              <w:rPr>
                <w:color w:val="000000"/>
                <w:sz w:val="24"/>
                <w:szCs w:val="24"/>
              </w:rPr>
              <w:t>19,228,000.00</w:t>
            </w:r>
          </w:p>
        </w:tc>
        <w:tc>
          <w:tcPr>
            <w:vAlign w:val="center"/>
          </w:tcPr>
          <w:p>
            <w:pPr>
              <w:jc w:val="right"/>
            </w:pPr>
            <w:r>
              <w:rPr>
                <w:color w:val="000000"/>
                <w:sz w:val="24"/>
                <w:szCs w:val="24"/>
              </w:rPr>
              <w:t>5.11</w:t>
            </w:r>
          </w:p>
        </w:tc>
      </w:tr>
      <w:tr>
        <w:tc>
          <w:tcPr>
            <w:vAlign w:val="center"/>
          </w:tcPr>
          <w:p>
            <w:pPr>
              <w:jc w:val="center"/>
            </w:pPr>
            <w:r>
              <w:rPr>
                <w:color w:val="000000"/>
                <w:sz w:val="24"/>
                <w:szCs w:val="24"/>
              </w:rPr>
              <w:t>2</w:t>
            </w:r>
          </w:p>
        </w:tc>
        <w:tc>
          <w:tcPr>
            <w:vAlign w:val="center"/>
          </w:tcPr>
          <w:p>
            <w:pPr>
              <w:jc w:val="center"/>
            </w:pPr>
            <w:r>
              <w:rPr>
                <w:color w:val="000000"/>
                <w:sz w:val="24"/>
                <w:szCs w:val="24"/>
              </w:rPr>
              <w:t>101800369</w:t>
            </w:r>
          </w:p>
        </w:tc>
        <w:tc>
          <w:tcPr>
            <w:vAlign w:val="center"/>
          </w:tcPr>
          <w:p>
            <w:pPr>
              <w:jc w:val="center"/>
            </w:pPr>
            <w:r>
              <w:rPr>
                <w:color w:val="000000"/>
                <w:sz w:val="24"/>
                <w:szCs w:val="24"/>
              </w:rPr>
              <w:t>18豫投资MTN002</w:t>
            </w:r>
          </w:p>
        </w:tc>
        <w:tc>
          <w:tcPr>
            <w:vAlign w:val="center"/>
          </w:tcPr>
          <w:p>
            <w:pPr>
              <w:jc w:val="right"/>
            </w:pPr>
            <w:r>
              <w:rPr>
                <w:color w:val="000000"/>
                <w:sz w:val="24"/>
                <w:szCs w:val="24"/>
              </w:rPr>
              <w:t>100,000</w:t>
            </w:r>
          </w:p>
        </w:tc>
        <w:tc>
          <w:tcPr>
            <w:vAlign w:val="center"/>
          </w:tcPr>
          <w:p>
            <w:pPr>
              <w:jc w:val="right"/>
            </w:pPr>
            <w:r>
              <w:rPr>
                <w:color w:val="000000"/>
                <w:sz w:val="24"/>
                <w:szCs w:val="24"/>
              </w:rPr>
              <w:t>10,290,000.00</w:t>
            </w:r>
          </w:p>
        </w:tc>
        <w:tc>
          <w:tcPr>
            <w:vAlign w:val="center"/>
          </w:tcPr>
          <w:p>
            <w:pPr>
              <w:jc w:val="right"/>
            </w:pPr>
            <w:r>
              <w:rPr>
                <w:color w:val="000000"/>
                <w:sz w:val="24"/>
                <w:szCs w:val="24"/>
              </w:rPr>
              <w:t>2.74</w:t>
            </w:r>
          </w:p>
        </w:tc>
      </w:tr>
      <w:tr>
        <w:tc>
          <w:tcPr>
            <w:vAlign w:val="center"/>
          </w:tcPr>
          <w:p>
            <w:pPr>
              <w:jc w:val="center"/>
            </w:pPr>
            <w:r>
              <w:rPr>
                <w:color w:val="000000"/>
                <w:sz w:val="24"/>
                <w:szCs w:val="24"/>
              </w:rPr>
              <w:t>3</w:t>
            </w:r>
          </w:p>
        </w:tc>
        <w:tc>
          <w:tcPr>
            <w:vAlign w:val="center"/>
          </w:tcPr>
          <w:p>
            <w:pPr>
              <w:jc w:val="center"/>
            </w:pPr>
            <w:r>
              <w:rPr>
                <w:color w:val="000000"/>
                <w:sz w:val="24"/>
                <w:szCs w:val="24"/>
              </w:rPr>
              <w:t>101800415</w:t>
            </w:r>
          </w:p>
        </w:tc>
        <w:tc>
          <w:tcPr>
            <w:vAlign w:val="center"/>
          </w:tcPr>
          <w:p>
            <w:pPr>
              <w:jc w:val="center"/>
            </w:pPr>
            <w:r>
              <w:rPr>
                <w:color w:val="000000"/>
                <w:sz w:val="24"/>
                <w:szCs w:val="24"/>
              </w:rPr>
              <w:t>18兆润投资MTN001</w:t>
            </w:r>
          </w:p>
        </w:tc>
        <w:tc>
          <w:tcPr>
            <w:vAlign w:val="center"/>
          </w:tcPr>
          <w:p>
            <w:pPr>
              <w:jc w:val="right"/>
            </w:pPr>
            <w:r>
              <w:rPr>
                <w:color w:val="000000"/>
                <w:sz w:val="24"/>
                <w:szCs w:val="24"/>
              </w:rPr>
              <w:t>100,000</w:t>
            </w:r>
          </w:p>
        </w:tc>
        <w:tc>
          <w:tcPr>
            <w:vAlign w:val="center"/>
          </w:tcPr>
          <w:p>
            <w:pPr>
              <w:jc w:val="right"/>
            </w:pPr>
            <w:r>
              <w:rPr>
                <w:color w:val="000000"/>
                <w:sz w:val="24"/>
                <w:szCs w:val="24"/>
              </w:rPr>
              <w:t>10,280,000.00</w:t>
            </w:r>
          </w:p>
        </w:tc>
        <w:tc>
          <w:tcPr>
            <w:vAlign w:val="center"/>
          </w:tcPr>
          <w:p>
            <w:pPr>
              <w:jc w:val="right"/>
            </w:pPr>
            <w:r>
              <w:rPr>
                <w:color w:val="000000"/>
                <w:sz w:val="24"/>
                <w:szCs w:val="24"/>
              </w:rPr>
              <w:t>2.73</w:t>
            </w:r>
          </w:p>
        </w:tc>
      </w:tr>
      <w:tr>
        <w:tc>
          <w:tcPr>
            <w:vAlign w:val="center"/>
          </w:tcPr>
          <w:p>
            <w:pPr>
              <w:jc w:val="center"/>
            </w:pPr>
            <w:r>
              <w:rPr>
                <w:color w:val="000000"/>
                <w:sz w:val="24"/>
                <w:szCs w:val="24"/>
              </w:rPr>
              <w:t>4</w:t>
            </w:r>
          </w:p>
        </w:tc>
        <w:tc>
          <w:tcPr>
            <w:vAlign w:val="center"/>
          </w:tcPr>
          <w:p>
            <w:pPr>
              <w:jc w:val="center"/>
            </w:pPr>
            <w:r>
              <w:rPr>
                <w:color w:val="000000"/>
                <w:sz w:val="24"/>
                <w:szCs w:val="24"/>
              </w:rPr>
              <w:t>101800522</w:t>
            </w:r>
          </w:p>
        </w:tc>
        <w:tc>
          <w:tcPr>
            <w:vAlign w:val="center"/>
          </w:tcPr>
          <w:p>
            <w:pPr>
              <w:jc w:val="center"/>
            </w:pPr>
            <w:r>
              <w:rPr>
                <w:color w:val="000000"/>
                <w:sz w:val="24"/>
                <w:szCs w:val="24"/>
              </w:rPr>
              <w:t>18苏交通MTN001</w:t>
            </w:r>
          </w:p>
        </w:tc>
        <w:tc>
          <w:tcPr>
            <w:vAlign w:val="center"/>
          </w:tcPr>
          <w:p>
            <w:pPr>
              <w:jc w:val="right"/>
            </w:pPr>
            <w:r>
              <w:rPr>
                <w:color w:val="000000"/>
                <w:sz w:val="24"/>
                <w:szCs w:val="24"/>
              </w:rPr>
              <w:t>100,000</w:t>
            </w:r>
          </w:p>
        </w:tc>
        <w:tc>
          <w:tcPr>
            <w:vAlign w:val="center"/>
          </w:tcPr>
          <w:p>
            <w:pPr>
              <w:jc w:val="right"/>
            </w:pPr>
            <w:r>
              <w:rPr>
                <w:color w:val="000000"/>
                <w:sz w:val="24"/>
                <w:szCs w:val="24"/>
              </w:rPr>
              <w:t>10,250,000.00</w:t>
            </w:r>
          </w:p>
        </w:tc>
        <w:tc>
          <w:tcPr>
            <w:vAlign w:val="center"/>
          </w:tcPr>
          <w:p>
            <w:pPr>
              <w:jc w:val="right"/>
            </w:pPr>
            <w:r>
              <w:rPr>
                <w:color w:val="000000"/>
                <w:sz w:val="24"/>
                <w:szCs w:val="24"/>
              </w:rPr>
              <w:t>2.73</w:t>
            </w:r>
          </w:p>
        </w:tc>
      </w:tr>
      <w:tr>
        <w:tc>
          <w:tcPr>
            <w:vAlign w:val="center"/>
          </w:tcPr>
          <w:p>
            <w:pPr>
              <w:jc w:val="center"/>
            </w:pPr>
            <w:r>
              <w:rPr>
                <w:color w:val="000000"/>
                <w:sz w:val="24"/>
                <w:szCs w:val="24"/>
              </w:rPr>
              <w:t>5</w:t>
            </w:r>
          </w:p>
        </w:tc>
        <w:tc>
          <w:tcPr>
            <w:vAlign w:val="center"/>
          </w:tcPr>
          <w:p>
            <w:pPr>
              <w:jc w:val="center"/>
            </w:pPr>
            <w:r>
              <w:rPr>
                <w:color w:val="000000"/>
                <w:sz w:val="24"/>
                <w:szCs w:val="24"/>
              </w:rPr>
              <w:t>101801139</w:t>
            </w:r>
          </w:p>
        </w:tc>
        <w:tc>
          <w:tcPr>
            <w:vAlign w:val="center"/>
          </w:tcPr>
          <w:p>
            <w:pPr>
              <w:jc w:val="center"/>
            </w:pPr>
            <w:r>
              <w:rPr>
                <w:color w:val="000000"/>
                <w:sz w:val="24"/>
                <w:szCs w:val="24"/>
              </w:rPr>
              <w:t>18光明MTN004</w:t>
            </w:r>
          </w:p>
        </w:tc>
        <w:tc>
          <w:tcPr>
            <w:vAlign w:val="center"/>
          </w:tcPr>
          <w:p>
            <w:pPr>
              <w:jc w:val="right"/>
            </w:pPr>
            <w:r>
              <w:rPr>
                <w:color w:val="000000"/>
                <w:sz w:val="24"/>
                <w:szCs w:val="24"/>
              </w:rPr>
              <w:t>100,000</w:t>
            </w:r>
          </w:p>
        </w:tc>
        <w:tc>
          <w:tcPr>
            <w:vAlign w:val="center"/>
          </w:tcPr>
          <w:p>
            <w:pPr>
              <w:jc w:val="right"/>
            </w:pPr>
            <w:r>
              <w:rPr>
                <w:color w:val="000000"/>
                <w:sz w:val="24"/>
                <w:szCs w:val="24"/>
              </w:rPr>
              <w:t>10,226,000.00</w:t>
            </w:r>
          </w:p>
        </w:tc>
        <w:tc>
          <w:tcPr>
            <w:vAlign w:val="center"/>
          </w:tcPr>
          <w:p>
            <w:pPr>
              <w:jc w:val="right"/>
            </w:pPr>
            <w:r>
              <w:rPr>
                <w:color w:val="000000"/>
                <w:sz w:val="24"/>
                <w:szCs w:val="24"/>
              </w:rPr>
              <w:t>2.72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100,724.81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2,071,056.77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4,317,994.15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1,488.10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1,000.00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6,492,263.83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688368</w:t>
            </w:r>
          </w:p>
        </w:tc>
        <w:tc>
          <w:tcPr>
            <w:vAlign w:val="center"/>
          </w:tcPr>
          <w:p>
            <w:pPr>
              <w:jc w:val="center"/>
            </w:pPr>
            <w:r>
              <w:rPr>
                <w:color w:val="000000"/>
                <w:sz w:val="24"/>
                <w:szCs w:val="24"/>
              </w:rPr>
              <w:t>晶丰明源</w:t>
            </w:r>
          </w:p>
        </w:tc>
        <w:tc>
          <w:tcPr>
            <w:vAlign w:val="center"/>
          </w:tcPr>
          <w:p>
            <w:pPr>
              <w:jc w:val="right"/>
            </w:pPr>
            <w:r>
              <w:rPr>
                <w:color w:val="000000"/>
                <w:sz w:val="24"/>
                <w:szCs w:val="24"/>
              </w:rPr>
              <w:t>144,930.76</w:t>
            </w:r>
          </w:p>
        </w:tc>
        <w:tc>
          <w:tcPr>
            <w:vAlign w:val="center"/>
          </w:tcPr>
          <w:p>
            <w:pPr>
              <w:jc w:val="right"/>
            </w:pPr>
            <w:r>
              <w:rPr>
                <w:color w:val="000000"/>
                <w:sz w:val="24"/>
                <w:szCs w:val="24"/>
              </w:rPr>
              <w:t>0.04</w:t>
            </w:r>
          </w:p>
        </w:tc>
        <w:tc>
          <w:tcPr>
            <w:vAlign w:val="center"/>
          </w:tcPr>
          <w:p>
            <w:pPr>
              <w:jc w:val="right"/>
            </w:pPr>
            <w:r>
              <w:rPr>
                <w:color w:val="000000"/>
                <w:sz w:val="24"/>
                <w:szCs w:val="24"/>
              </w:rPr>
              <w:t>新股未上市</w:t>
            </w:r>
          </w:p>
        </w:tc>
      </w:tr>
      <w:tr>
        <w:tc>
          <w:tcPr>
            <w:vAlign w:val="center"/>
          </w:tcPr>
          <w:p>
            <w:pPr>
              <w:jc w:val="center"/>
            </w:pPr>
            <w:r>
              <w:rPr>
                <w:color w:val="000000"/>
                <w:sz w:val="24"/>
                <w:szCs w:val="24"/>
              </w:rPr>
              <w:t>2</w:t>
            </w:r>
          </w:p>
        </w:tc>
        <w:tc>
          <w:tcPr>
            <w:vAlign w:val="center"/>
          </w:tcPr>
          <w:p>
            <w:pPr>
              <w:jc w:val="center"/>
            </w:pPr>
            <w:r>
              <w:rPr>
                <w:color w:val="000000"/>
                <w:sz w:val="24"/>
                <w:szCs w:val="24"/>
              </w:rPr>
              <w:t>603786</w:t>
            </w:r>
          </w:p>
        </w:tc>
        <w:tc>
          <w:tcPr>
            <w:vAlign w:val="center"/>
          </w:tcPr>
          <w:p>
            <w:pPr>
              <w:jc w:val="center"/>
            </w:pPr>
            <w:r>
              <w:rPr>
                <w:color w:val="000000"/>
                <w:sz w:val="24"/>
                <w:szCs w:val="24"/>
              </w:rPr>
              <w:t>科博达</w:t>
            </w:r>
          </w:p>
        </w:tc>
        <w:tc>
          <w:tcPr>
            <w:vAlign w:val="center"/>
          </w:tcPr>
          <w:p>
            <w:pPr>
              <w:jc w:val="right"/>
            </w:pPr>
            <w:r>
              <w:rPr>
                <w:color w:val="000000"/>
                <w:sz w:val="24"/>
                <w:szCs w:val="24"/>
              </w:rPr>
              <w:t>21,942.24</w:t>
            </w:r>
          </w:p>
        </w:tc>
        <w:tc>
          <w:tcPr>
            <w:vAlign w:val="center"/>
          </w:tcPr>
          <w:p>
            <w:pPr>
              <w:jc w:val="right"/>
            </w:pPr>
            <w:r>
              <w:rPr>
                <w:color w:val="000000"/>
                <w:sz w:val="24"/>
                <w:szCs w:val="24"/>
              </w:rPr>
              <w:t>0.01</w:t>
            </w:r>
          </w:p>
        </w:tc>
        <w:tc>
          <w:tcPr>
            <w:vAlign w:val="center"/>
          </w:tcPr>
          <w:p>
            <w:pPr>
              <w:jc w:val="right"/>
            </w:pPr>
            <w:r>
              <w:rPr>
                <w:color w:val="000000"/>
                <w:sz w:val="24"/>
                <w:szCs w:val="24"/>
              </w:rPr>
              <w:t>新股未上市</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323,006,998.43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34,464,698.92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9,455,218.38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348,016,478.97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27.58%</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27.58%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为更好地满足广大投资者的投资需求，降低投资者的投资成本，本基金管理人经与基金托管人中国民生银行股份有限公司协商一致，并报中国证券监督管理委员会备案，自2019年7月12日（含当日）起调整本基金的管理费率，并对本基金的基金合同、托管协议作相应修改。详情请查阅本基金管理人于2019年7月10日发布的《交银施罗德基金管理有限公司关于调整交银施罗德荣鑫灵活配置混合型证券投资基金管理费率并修改基金合同、托管协议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1、中国证监会准予交银施罗德荣鑫保本混合型证券投资基金募集注册的文件；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2、《交银施罗德荣鑫灵活配置混合型证券投资基金基金合同》；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3、《交银施罗德荣鑫灵活配置混合型证券投资基金招募说明书》；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4、《交银施罗德荣鑫灵活配置混合型证券投资基金托管协议》；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5、《交银施罗德荣鑫保本混合型证券投资基金基金合同》；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6、《交银施罗德荣鑫保本混合型证券投资基金招募说明书》；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7、《交银施罗德荣鑫保本混合型证券投资基金托管协议》； </w:t>
      </w:r>
    </w:p>
    <w:p>
      <w:pPr>
        <w:spacing w:before="29" w:line="288" w:lineRule="auto"/>
        <w:ind w:firstLine="480" w:firstLineChars="200"/>
        <w:rPr>
          <w:color w:val="000000"/>
          <w:sz w:val="24"/>
          <w:szCs w:val="24"/>
        </w:rPr>
      </w:pPr>
      <w:r>
        <w:rPr>
          <w:color w:val="000000"/>
          <w:sz w:val="24"/>
          <w:szCs w:val="24"/>
        </w:rPr>
        <w:t>8、《交银施罗德荣鑫保本混合型证券投资基金保证合同》；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11、关于申请募集注册交银施罗德荣鑫保本混合型证券投资基金的法律意见书；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12、关于修改《交银施罗德荣鑫保本混合型证券投资基金基金合同》的法律意见书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13、报告期内交银施罗德荣鑫保本混合型证券投资基金、交银施罗德荣鑫灵活配置混合型证券投资基金在指定报刊上各项公告的原稿。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交银施罗德荣鑫灵活配置混合型证券投资基金2019年第3季度报告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