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0C1E17" w:rsidRDefault="000C1E17" w:rsidRPr="00414345">
      <w:pPr>
        <w:autoSpaceDE w:val="0"/>
        <w:autoSpaceDN w:val="0"/>
        <w:adjustRightInd w:val="0"/>
        <w:spacing w:before="29" w:line="288" w:lineRule="auto"/>
        <w:jc w:val="left"/>
        <w:rPr>
          <w:color w:val="000000"/>
          <w:kern w:val="0"/>
          <w:sz w:val="24"/>
          <w:szCs w:val="24"/>
        </w:rPr>
      </w:pPr>
    </w:p>
    <w:p w:rsidP="00C15CAC" w:rsidR="000C1E17" w:rsidRDefault="000C1E17" w:rsidRPr="00414345">
      <w:pPr>
        <w:autoSpaceDE w:val="0"/>
        <w:autoSpaceDN w:val="0"/>
        <w:adjustRightInd w:val="0"/>
        <w:spacing w:before="29" w:line="288" w:lineRule="auto"/>
        <w:jc w:val="left"/>
        <w:rPr>
          <w:color w:val="000000"/>
          <w:kern w:val="0"/>
          <w:sz w:val="24"/>
          <w:szCs w:val="24"/>
        </w:rPr>
      </w:pPr>
    </w:p>
    <w:p w:rsidP="00C15CAC" w:rsidR="002279D3" w:rsidRDefault="002279D3" w:rsidRPr="0081286B">
      <w:pPr>
        <w:spacing w:before="29" w:line="288" w:lineRule="auto"/>
        <w:jc w:val="center"/>
        <w:rPr>
          <w:b/>
          <w:sz w:val="36"/>
          <w:szCs w:val="36"/>
        </w:rPr>
      </w:pPr>
      <w:r w:rsidRPr="0081286B">
        <w:rPr>
          <w:b/>
          <w:sz w:val="36"/>
          <w:szCs w:val="36"/>
        </w:rPr>
        <w:t>交银施罗德定期支付双息平衡混合型证券投资基金</w:t>
      </w:r>
    </w:p>
    <w:p w:rsidP="00C15CAC" w:rsidR="002279D3" w:rsidRDefault="002279D3" w:rsidRPr="0081286B">
      <w:pPr>
        <w:spacing w:before="29" w:line="288" w:lineRule="auto"/>
        <w:jc w:val="center"/>
        <w:rPr>
          <w:b/>
          <w:sz w:val="36"/>
          <w:szCs w:val="36"/>
        </w:rPr>
      </w:pPr>
      <w:r w:rsidRPr="0081286B">
        <w:rPr>
          <w:b/>
          <w:sz w:val="36"/>
          <w:szCs w:val="36"/>
        </w:rPr>
        <w:t>2019年第3季度报告</w:t>
      </w:r>
    </w:p>
    <w:p w:rsidP="00C15CAC" w:rsidR="004061AC" w:rsidRDefault="00655CD8" w:rsidRPr="0081286B">
      <w:pPr>
        <w:spacing w:before="29" w:line="288" w:lineRule="auto"/>
        <w:jc w:val="center"/>
        <w:rPr>
          <w:b/>
          <w:sz w:val="36"/>
          <w:szCs w:val="36"/>
        </w:rPr>
      </w:pPr>
      <w:r w:rsidRPr="0081286B">
        <w:rPr>
          <w:b/>
          <w:sz w:val="36"/>
          <w:szCs w:val="36"/>
        </w:rPr>
        <w:t>2019年9月30日</w:t>
      </w: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625BFC" w:rsidRDefault="004061AC" w:rsidRPr="0081286B">
      <w:pPr>
        <w:spacing w:before="29" w:line="288" w:lineRule="auto"/>
        <w:ind w:firstLine="2168" w:firstLineChars="900"/>
        <w:rPr>
          <w:b/>
          <w:color w:val="000000"/>
          <w:sz w:val="24"/>
          <w:szCs w:val="24"/>
        </w:rPr>
      </w:pPr>
      <w:r w:rsidRPr="0081286B">
        <w:rPr>
          <w:b/>
          <w:color w:val="000000"/>
          <w:sz w:val="24"/>
          <w:szCs w:val="24"/>
        </w:rPr>
        <w:t>基金管理人：</w:t>
      </w:r>
      <w:r w:rsidRPr="0081286B">
        <w:rPr>
          <w:b/>
          <w:color w:val="000000"/>
          <w:sz w:val="24"/>
          <w:szCs w:val="24"/>
        </w:rPr>
        <w:t>交银施罗德基金管理有限公司</w:t>
      </w:r>
    </w:p>
    <w:p w:rsidP="00C15CAC" w:rsidR="00625BFC" w:rsidRDefault="004061AC" w:rsidRPr="0081286B">
      <w:pPr>
        <w:spacing w:before="29" w:line="288" w:lineRule="auto"/>
        <w:ind w:firstLine="2168" w:firstLineChars="900"/>
        <w:rPr>
          <w:b/>
          <w:color w:val="000000"/>
          <w:sz w:val="24"/>
          <w:szCs w:val="24"/>
        </w:rPr>
      </w:pPr>
      <w:r w:rsidRPr="0081286B">
        <w:rPr>
          <w:b/>
          <w:color w:val="000000"/>
          <w:sz w:val="24"/>
          <w:szCs w:val="24"/>
        </w:rPr>
        <w:t>基金托管人：</w:t>
      </w:r>
      <w:r w:rsidRPr="0081286B">
        <w:rPr>
          <w:b/>
          <w:color w:val="000000"/>
          <w:sz w:val="24"/>
          <w:szCs w:val="24"/>
        </w:rPr>
        <w:t>中国农业银行股份有限公司</w:t>
      </w:r>
    </w:p>
    <w:p w:rsidP="00C15CAC" w:rsidR="004061AC" w:rsidRDefault="004061AC" w:rsidRPr="0081286B">
      <w:pPr>
        <w:spacing w:before="29" w:line="288" w:lineRule="auto"/>
        <w:ind w:firstLine="2168" w:firstLineChars="900"/>
        <w:rPr>
          <w:b/>
          <w:color w:val="000000"/>
          <w:sz w:val="24"/>
          <w:szCs w:val="24"/>
        </w:rPr>
        <w:sectPr w:rsidR="004061AC" w:rsidRPr="0081286B" w:rsidSect="00DC456F">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40" w:right="1440" w:top="1418"/>
          <w:cols w:space="720"/>
          <w:noEndnote/>
          <w:titlePg/>
          <w:docGrid w:linePitch="286"/>
        </w:sectPr>
      </w:pPr>
      <w:r w:rsidRPr="0081286B">
        <w:rPr>
          <w:b/>
          <w:color w:val="000000"/>
          <w:sz w:val="24"/>
          <w:szCs w:val="24"/>
        </w:rPr>
        <w:t>报告送出日期：</w:t>
      </w:r>
      <w:r w:rsidR="00F16E3F" w:rsidRPr="0081286B">
        <w:rPr>
          <w:b/>
          <w:color w:val="000000"/>
          <w:sz w:val="24"/>
          <w:szCs w:val="24"/>
        </w:rPr>
        <w:t/>
      </w:r>
      <w:r w:rsidR="0042009D" w:rsidRPr="0081286B">
        <w:rPr>
          <w:b/>
          <w:color w:val="000000"/>
          <w:sz w:val="24"/>
          <w:szCs w:val="24"/>
        </w:rPr>
        <w:t/>
      </w:r>
      <w:r w:rsidR="00F16E3F" w:rsidRPr="0081286B">
        <w:rPr>
          <w:b/>
          <w:color w:val="000000"/>
          <w:sz w:val="24"/>
          <w:szCs w:val="24"/>
        </w:rPr>
        <w:t>二〇一九年十月二十二日</w:t>
      </w:r>
    </w:p>
    <w:p w:rsidP="0011537B" w:rsidR="004061AC" w:rsidRDefault="004061AC" w:rsidRPr="00414345">
      <w:pPr>
        <w:pStyle w:val="1"/>
        <w:spacing w:after="312" w:afterLines="100" w:before="312" w:beforeLines="100"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pPr>
        <w:spacing w:before="29" w:line="288" w:lineRule="auto"/>
        <w:ind w:firstLine="480" w:firstLineChars="200"/>
        <w:rPr>
          <w:color w:val="000000"/>
          <w:sz w:val="24"/>
          <w:szCs w:val="24"/>
        </w:rPr>
      </w:pPr>
      <w:r>
        <w:rPr>
          <w:color w:val="000000"/>
          <w:sz w:val="24"/>
          <w:szCs w:val="24"/>
        </w:rPr>
        <w:t xml:space="preserve">基金管理人的董事会及董事保证本报告所载资料不存在虚假记载、误导性陈述或重大遗漏，并对其内容的真实性、准确性和完整性承担个别及连带责任。 </w:t>
      </w:r>
    </w:p>
    <w:p>
      <w:pPr>
        <w:spacing w:before="29" w:line="288" w:lineRule="auto"/>
        <w:ind w:firstLine="480" w:firstLineChars="200"/>
        <w:rPr>
          <w:color w:val="000000"/>
          <w:sz w:val="24"/>
          <w:szCs w:val="24"/>
        </w:rPr>
      </w:pPr>
      <w:r>
        <w:rPr>
          <w:color w:val="000000"/>
          <w:sz w:val="24"/>
          <w:szCs w:val="24"/>
        </w:rPr>
        <w:t xml:space="preserve">基金托管人中国农业银行股份有限公司根据本基金合同规定，于2019年10月21日复核了本报告中的财务指标、净值表现和投资组合报告等内容，保证复核内容不存在虚假记载、误导性陈述或者重大遗漏。 </w:t>
      </w:r>
    </w:p>
    <w:p>
      <w:pPr>
        <w:spacing w:before="29" w:line="288" w:lineRule="auto"/>
        <w:ind w:firstLine="480" w:firstLineChars="200"/>
        <w:rPr>
          <w:color w:val="000000"/>
          <w:sz w:val="24"/>
          <w:szCs w:val="24"/>
        </w:rPr>
      </w:pPr>
      <w:r>
        <w:rPr>
          <w:color w:val="000000"/>
          <w:sz w:val="24"/>
          <w:szCs w:val="24"/>
        </w:rPr>
        <w:t xml:space="preserve">基金管理人承诺以诚实信用、勤勉尽责的原则管理和运用基金资产，但不保证基金一定盈利。 </w:t>
      </w:r>
    </w:p>
    <w:p>
      <w:pPr>
        <w:spacing w:before="29" w:line="288" w:lineRule="auto"/>
        <w:ind w:firstLine="480" w:firstLineChars="200"/>
        <w:rPr>
          <w:color w:val="000000"/>
          <w:sz w:val="24"/>
          <w:szCs w:val="24"/>
        </w:rPr>
      </w:pPr>
      <w:r>
        <w:rPr>
          <w:color w:val="000000"/>
          <w:sz w:val="24"/>
          <w:szCs w:val="24"/>
        </w:rPr>
        <w:t xml:space="preserve">基金的过往业绩并不代表其未来表现。投资有风险，投资者在作出投资决策前应仔细阅读本基金的招募说明书。 </w:t>
      </w:r>
    </w:p>
    <w:p>
      <w:pPr>
        <w:spacing w:before="29" w:line="288" w:lineRule="auto"/>
        <w:ind w:firstLine="480" w:firstLineChars="200"/>
        <w:rPr>
          <w:color w:val="000000"/>
          <w:sz w:val="24"/>
          <w:szCs w:val="24"/>
        </w:rPr>
      </w:pPr>
      <w:r>
        <w:rPr>
          <w:color w:val="000000"/>
          <w:sz w:val="24"/>
          <w:szCs w:val="24"/>
        </w:rPr>
        <w:t>本报告中财务资料未经审计。</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本报告期自2019年7月1日起至9月30日止。</w:t>
      </w:r>
    </w:p>
    <w:p w:rsidP="00C15CAC" w:rsidR="00627E2D" w:rsidRDefault="00627E2D" w:rsidRPr="00414345">
      <w:pPr>
        <w:spacing w:before="29" w:line="288" w:lineRule="auto"/>
        <w:ind w:firstLine="480" w:firstLineChars="200"/>
        <w:rPr>
          <w:color w:val="00000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023"/>
        <w:gridCol w:w="2922"/>
        <w:gridCol w:w="2923"/>
      </w:tblGrid>
      <w:tr w:rsidR="004061AC" w:rsidRPr="00414345" w:rsidTr="006E6726">
        <w:trPr>
          <w:jc w:val="center"/>
        </w:trPr>
        <w:tc>
          <w:tcPr>
            <w:tcW w:type="dxa" w:w="3023"/>
            <w:vAlign w:val="center"/>
          </w:tcPr>
          <w:p w:rsidP="00C15CAC" w:rsidR="004061AC" w:rsidRDefault="004061AC" w:rsidRPr="00414345">
            <w:pPr>
              <w:adjustRightInd w:val="0"/>
              <w:spacing w:before="29" w:line="288" w:lineRule="auto"/>
              <w:ind w:left="17"/>
              <w:jc w:val="left"/>
              <w:rPr>
                <w:kern w:val="0"/>
                <w:sz w:val="24"/>
                <w:szCs w:val="24"/>
              </w:rPr>
            </w:pPr>
            <w:r w:rsidRPr="00414345">
              <w:rPr>
                <w:kern w:val="0"/>
                <w:sz w:val="24"/>
                <w:szCs w:val="24"/>
              </w:rPr>
              <w:t>基金简称</w:t>
            </w:r>
          </w:p>
        </w:tc>
        <w:tc>
          <w:tcPr>
            <w:tcW w:type="dxa" w:w="5845"/>
            <w:gridSpan w:val="2"/>
            <w:vAlign w:val="center"/>
          </w:tcPr>
          <w:p w:rsidP="00C15CAC" w:rsidR="004061AC" w:rsidRDefault="004061AC" w:rsidRPr="00414345">
            <w:pPr>
              <w:adjustRightInd w:val="0"/>
              <w:spacing w:before="29" w:line="288" w:lineRule="auto"/>
              <w:ind w:left="17"/>
              <w:jc w:val="left"/>
              <w:rPr>
                <w:color w:val="000000"/>
                <w:kern w:val="0"/>
                <w:sz w:val="24"/>
                <w:szCs w:val="24"/>
              </w:rPr>
            </w:pPr>
            <w:r w:rsidRPr="00414345">
              <w:rPr>
                <w:color w:val="000000"/>
                <w:kern w:val="0"/>
                <w:sz w:val="24"/>
                <w:szCs w:val="24"/>
              </w:rPr>
              <w:t>交银定期支付双息平衡混合</w:t>
            </w:r>
          </w:p>
        </w:tc>
      </w:tr>
      <w:tr w:rsidR="00D94B8D" w:rsidRPr="00414345" w:rsidTr="006E6726">
        <w:trPr>
          <w:jc w:val="center"/>
        </w:trPr>
        <w:tc>
          <w:tcPr>
            <w:tcW w:type="dxa" w:w="3023"/>
            <w:tcBorders>
              <w:top w:color="auto" w:space="0" w:sz="4" w:val="single"/>
              <w:left w:color="auto" w:space="0" w:sz="4" w:val="single"/>
              <w:bottom w:color="auto" w:space="0" w:sz="4" w:val="single"/>
              <w:right w:color="auto" w:space="0" w:sz="4" w:val="single"/>
            </w:tcBorders>
            <w:vAlign w:val="center"/>
            <w:hideMark/>
          </w:tcPr>
          <w:p w:rsidP="00C15CAC" w:rsidR="00D94B8D" w:rsidRDefault="00D94B8D" w:rsidRPr="00414345">
            <w:pPr>
              <w:adjustRightInd w:val="0"/>
              <w:spacing w:before="29" w:line="288" w:lineRule="auto"/>
              <w:ind w:left="17"/>
              <w:jc w:val="left"/>
              <w:rPr>
                <w:kern w:val="0"/>
                <w:sz w:val="24"/>
                <w:szCs w:val="24"/>
              </w:rPr>
            </w:pPr>
            <w:r w:rsidRPr="00414345">
              <w:rPr>
                <w:kern w:val="0"/>
                <w:sz w:val="24"/>
                <w:szCs w:val="24"/>
              </w:rPr>
              <w:t>基金主代码</w:t>
            </w:r>
          </w:p>
        </w:tc>
        <w:tc>
          <w:tcPr>
            <w:tcW w:type="dxa" w:w="5845"/>
            <w:gridSpan w:val="2"/>
            <w:tcBorders>
              <w:top w:color="auto" w:space="0" w:sz="4" w:val="single"/>
              <w:left w:color="auto" w:space="0" w:sz="4" w:val="single"/>
              <w:bottom w:color="auto" w:space="0" w:sz="4" w:val="single"/>
              <w:right w:color="auto" w:space="0" w:sz="4" w:val="single"/>
            </w:tcBorders>
            <w:vAlign w:val="center"/>
            <w:hideMark/>
          </w:tcPr>
          <w:p w:rsidP="00C15CAC" w:rsidR="00D94B8D" w:rsidRDefault="00D94B8D" w:rsidRPr="00414345">
            <w:pPr>
              <w:adjustRightInd w:val="0"/>
              <w:spacing w:before="29" w:line="288" w:lineRule="auto"/>
              <w:ind w:left="17"/>
              <w:jc w:val="left"/>
              <w:rPr>
                <w:color w:val="000000"/>
                <w:kern w:val="0"/>
                <w:sz w:val="24"/>
                <w:szCs w:val="24"/>
              </w:rPr>
            </w:pPr>
            <w:r w:rsidRPr="00414345">
              <w:rPr>
                <w:color w:val="000000"/>
                <w:kern w:val="0"/>
                <w:sz w:val="24"/>
                <w:szCs w:val="24"/>
              </w:rPr>
              <w:t>519732</w:t>
            </w:r>
          </w:p>
        </w:tc>
      </w:tr>
      <w:tr w:rsidR="001B2F35" w:rsidRPr="00414345" w:rsidTr="006E6726">
        <w:trPr>
          <w:jc w:val="center"/>
        </w:trPr>
        <w:tc>
          <w:tcPr>
            <w:tcW w:type="dxa" w:w="3023"/>
            <w:tcBorders>
              <w:top w:color="auto" w:space="0" w:sz="4" w:val="single"/>
              <w:left w:color="auto" w:space="0" w:sz="4" w:val="single"/>
              <w:bottom w:color="auto" w:space="0" w:sz="4" w:val="single"/>
              <w:right w:color="auto" w:space="0" w:sz="4" w:val="single"/>
            </w:tcBorders>
            <w:vAlign w:val="center"/>
          </w:tcPr>
          <w:p w:rsidP="00C15CAC" w:rsidR="001B2F35" w:rsidRDefault="001B2F35" w:rsidRPr="00414345">
            <w:pPr>
              <w:adjustRightInd w:val="0"/>
              <w:spacing w:before="29" w:line="288" w:lineRule="auto"/>
              <w:ind w:left="17"/>
              <w:jc w:val="left"/>
              <w:rPr>
                <w:kern w:val="0"/>
                <w:sz w:val="24"/>
                <w:szCs w:val="24"/>
              </w:rPr>
            </w:pPr>
            <w:r w:rsidRPr="00414345">
              <w:rPr>
                <w:kern w:val="0"/>
                <w:sz w:val="24"/>
                <w:szCs w:val="24"/>
              </w:rPr>
              <w:t>交易代码</w:t>
            </w:r>
          </w:p>
        </w:tc>
        <w:tc>
          <w:tcPr>
            <w:tcW w:type="dxa" w:w="5845"/>
            <w:gridSpan w:val="2"/>
            <w:tcBorders>
              <w:top w:color="auto" w:space="0" w:sz="4" w:val="single"/>
              <w:left w:color="auto" w:space="0" w:sz="4" w:val="single"/>
              <w:bottom w:color="auto" w:space="0" w:sz="4" w:val="single"/>
              <w:right w:color="auto" w:space="0" w:sz="4" w:val="single"/>
            </w:tcBorders>
            <w:vAlign w:val="center"/>
          </w:tcPr>
          <w:p w:rsidP="00C15CAC" w:rsidR="001B2F35" w:rsidRDefault="00C5218C" w:rsidRPr="00414345">
            <w:pPr>
              <w:adjustRightInd w:val="0"/>
              <w:spacing w:before="29" w:line="288" w:lineRule="auto"/>
              <w:ind w:left="17"/>
              <w:jc w:val="left"/>
              <w:rPr>
                <w:color w:val="000000"/>
                <w:kern w:val="0"/>
                <w:sz w:val="24"/>
                <w:szCs w:val="24"/>
              </w:rPr>
            </w:pPr>
            <w:r w:rsidRPr="00414345">
              <w:rPr>
                <w:kern w:val="0"/>
                <w:sz w:val="24"/>
              </w:rPr>
              <w:t>519732</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基金运作方式</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基金合同生效日</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2013年9月4日</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报告期末基金份额总额</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489,723,174.37</w:t>
            </w:r>
            <w:r w:rsidRPr="00414345">
              <w:rPr>
                <w:color w:val="000000"/>
                <w:kern w:val="0"/>
                <w:sz w:val="24"/>
                <w:szCs w:val="24"/>
              </w:rPr>
              <w:t>份</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投资目标</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本基金精选具有长期增长潜力和较好分红能力的股票，以及具有较高息票率的债券，力争实现基金资产的长期增值。</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投资策略</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精选具有较好现金分红能力、长期增长潜力且估值水平合理的上市公司以及具有较高息票率的债券，通过在股票和债券等不同类别资产中的平衡配置，追求基金资产在风险可控前提下的持续增值，充分享受股票分红和债券利息的双重收益。</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业绩比较基准</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50%×中证红利指数收益率+50%×中债综合全价指数收益率</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风险收益特征</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本基金是一只混合型基金，在证券投资基金中属于较高风险的品种，其长期平均风险和预期收益高于货币市场基金和债券型基金，低于股票型基金。</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基金管理人</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基金托管人</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中国农业银行股份有限公司</w:t>
            </w:r>
          </w:p>
        </w:tc>
      </w:tr>
    </w:tbl>
    <w:p w:rsidP="00C15CAC" w:rsidR="005910BF" w:rsidRDefault="005910BF" w:rsidRPr="00414345">
      <w:pPr>
        <w:autoSpaceDE w:val="0"/>
        <w:autoSpaceDN w:val="0"/>
        <w:adjustRightInd w:val="0"/>
        <w:spacing w:before="29" w:line="288" w:lineRule="auto"/>
        <w:jc w:val="left"/>
        <w:rPr>
          <w:color w:val="000000"/>
          <w:kern w:val="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P="00C15CAC" w:rsidR="004061AC" w:rsidRDefault="004061AC" w:rsidRPr="00414345">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607"/>
        <w:gridCol w:w="2706"/>
        <w:gridCol w:w="2555"/>
      </w:tblGrid>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jc w:val="center"/>
              <w:rPr>
                <w:kern w:val="0"/>
                <w:sz w:val="24"/>
                <w:szCs w:val="24"/>
              </w:rPr>
            </w:pPr>
            <w:r w:rsidRPr="00414345">
              <w:rPr>
                <w:kern w:val="0"/>
                <w:sz w:val="24"/>
                <w:szCs w:val="24"/>
              </w:rPr>
              <w:t>主要财务指标</w:t>
            </w:r>
            <w:r w:rsidR="00D96C8D" w:rsidRPr="00414345">
              <w:rPr>
                <w:kern w:val="0"/>
                <w:sz w:val="24"/>
                <w:szCs w:val="24"/>
              </w:rPr>
              <w:t/>
            </w:r>
          </w:p>
        </w:tc>
        <w:tc>
          <w:tcPr>
            <w:tcW w:type="dxa" w:w="4962"/>
            <w:hMerge w:val="restart"/>
            <w:vAlign w:val="center"/>
          </w:tcPr>
          <w:p w:rsidP="00C15CAC" w:rsidR="009C60F7" w:rsidRDefault="009C60F7" w:rsidRPr="00414345">
            <w:pPr>
              <w:adjustRightInd w:val="0"/>
              <w:spacing w:before="29" w:line="288" w:lineRule="auto"/>
              <w:ind w:left="17"/>
              <w:jc w:val="center"/>
              <w:rPr>
                <w:color w:val="000000"/>
                <w:sz w:val="24"/>
                <w:szCs w:val="24"/>
              </w:rPr>
            </w:pPr>
            <w:r w:rsidRPr="00414345">
              <w:rPr>
                <w:color w:val="000000"/>
                <w:sz w:val="24"/>
                <w:szCs w:val="24"/>
              </w:rPr>
              <w:t>报告期</w:t>
            </w:r>
          </w:p>
          <w:p w:rsidP="00C15CAC" w:rsidR="00C21520" w:rsidRDefault="009C60F7" w:rsidRPr="00414345">
            <w:pPr>
              <w:adjustRightInd w:val="0"/>
              <w:spacing w:before="29" w:line="288" w:lineRule="auto"/>
              <w:ind w:left="17"/>
              <w:jc w:val="center"/>
              <w:rPr>
                <w:color w:val="000000"/>
                <w:sz w:val="24"/>
                <w:szCs w:val="24"/>
              </w:rPr>
            </w:pPr>
            <w:r w:rsidRPr="00414345">
              <w:rPr>
                <w:color w:val="000000"/>
                <w:sz w:val="24"/>
                <w:szCs w:val="24"/>
              </w:rPr>
              <w:t>(2019年7月1日-2019年9月30日)</w:t>
            </w:r>
          </w:p>
        </w:tc>
        <w:tc>
          <w:tcPr>
            <w:tcW w:type="dxa" w:w="2410"/>
            <w:hMerge/>
            <w:vAlign w:val="center"/>
          </w:tcPr>
          <w:p w:rsidP="00C15CAC" w:rsidR="00C21520" w:rsidRDefault="00C21520" w:rsidRPr="00414345">
            <w:pPr>
              <w:adjustRightInd w:val="0"/>
              <w:spacing w:before="29" w:line="288" w:lineRule="auto"/>
              <w:ind w:left="17"/>
              <w:jc w:val="center"/>
              <w:rPr>
                <w:color w:val="000000"/>
                <w:sz w:val="24"/>
                <w:szCs w:val="24"/>
              </w:rPr>
            </w:pPr>
            <w:r w:rsidRPr="00414345">
              <w:rPr>
                <w:color w:val="000000"/>
                <w:sz w:val="24"/>
                <w:szCs w:val="24"/>
              </w:rPr>
              <w:t>上期金额</w:t>
            </w:r>
            <w:r w:rsidR="006A7AF1" w:rsidRPr="00414345">
              <w:rPr>
                <w:color w:val="000000"/>
                <w:sz w:val="24"/>
                <w:szCs w:val="24"/>
              </w:rPr>
              <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lastRenderedPageBreak/>
              <w:t>1.</w:t>
            </w:r>
            <w:r w:rsidRPr="00414345">
              <w:rPr>
                <w:kern w:val="0"/>
                <w:sz w:val="24"/>
                <w:szCs w:val="24"/>
              </w:rPr>
              <w:t>本期已实现收益</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102,845,541.78</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135,949,552.82</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0.2759</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1,662,619,032.76</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trHeight w:val="158"/>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3.395</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bl>
    <w:p>
      <w:pPr>
        <w:autoSpaceDE w:val="0"/>
        <w:autoSpaceDN w:val="0"/>
        <w:adjustRightInd w:val="0"/>
        <w:spacing w:before="29" w:line="288" w:lineRule="auto"/>
        <w:jc w:val="left"/>
        <w:rPr>
          <w:color w:val="000000"/>
          <w:sz w:val="24"/>
          <w:szCs w:val="24"/>
        </w:rPr>
      </w:pPr>
      <w:r>
        <w:rPr>
          <w:color w:val="000000"/>
          <w:sz w:val="24"/>
          <w:szCs w:val="24"/>
        </w:rPr>
        <w:t xml:space="preserve">注：1、上述基金业绩指标不包括持有人认购或交易基金的各项费用，计入费用后的实际收益水平要低于所列数字； </w:t>
      </w:r>
    </w:p>
    <w:p w:rsidP="00C15CAC" w:rsidR="004061AC" w:rsidRDefault="00A5612C"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xml:space="preserve">    2、本期已实现收益指基金本期利息收入、投资收益、其他收入（不含公允价值变动收益）扣除相关费用后的余额，本期利润为本期已实现收益加上本期公允价值变动收益。 </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P="00C15CAC" w:rsidR="00CF6572"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type="dxa" w:w="8868"/>
        <w:jc w:val="center"/>
        <w:tblLayout w:type="fixed"/>
        <w:tblCellMar>
          <w:top w:type="dxa" w:w="57"/>
          <w:bottom w:type="dxa" w:w="57"/>
        </w:tblCellMar>
        <w:tblLook w:firstColumn="1" w:firstRow="1" w:lastColumn="0" w:lastRow="0" w:noHBand="0" w:noVBand="1" w:val="04A0"/>
      </w:tblPr>
      <w:tblGrid>
        <w:gridCol w:w="1701"/>
        <w:gridCol w:w="1045"/>
        <w:gridCol w:w="1344"/>
        <w:gridCol w:w="1194"/>
        <w:gridCol w:w="1492"/>
        <w:gridCol w:w="1194"/>
        <w:gridCol w:w="898"/>
      </w:tblGrid>
      <w:tr w:rsidR="00EF6FA5" w:rsidRPr="00414345" w:rsidTr="00A324F4">
        <w:trPr>
          <w:jc w:val="center"/>
        </w:trPr>
        <w:tc>
          <w:tcPr>
            <w:tcW w:type="dxa" w:w="161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r w:rsidR="00200FAB" w:rsidRPr="00414345">
              <w:rPr>
                <w:color w:val="000000"/>
                <w:sz w:val="24"/>
                <w:szCs w:val="24"/>
              </w:rPr>
              <w:t/>
            </w:r>
          </w:p>
        </w:tc>
        <w:tc>
          <w:tcPr>
            <w:tcW w:type="dxa" w:w="992"/>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type="dxa" w:w="1276"/>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type="dxa" w:w="113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type="dxa" w:w="1417"/>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type="dxa" w:w="113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type="dxa" w:w="853"/>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tc>
          <w:tcPr>
            <w:vAlign w:val="center"/>
          </w:tcPr>
          <w:p>
            <w:pPr>
              <w:jc w:val="left"/>
            </w:pPr>
            <w:r>
              <w:rPr>
                <w:color w:val="000000"/>
                <w:sz w:val="24"/>
                <w:szCs w:val="24"/>
              </w:rPr>
              <w:t>过去三个月</w:t>
            </w:r>
          </w:p>
        </w:tc>
        <w:tc>
          <w:tcPr>
            <w:vAlign w:val="center"/>
          </w:tcPr>
          <w:p>
            <w:pPr>
              <w:jc w:val="center"/>
            </w:pPr>
            <w:r>
              <w:rPr>
                <w:color w:val="000000"/>
                <w:sz w:val="24"/>
                <w:szCs w:val="24"/>
              </w:rPr>
              <w:t>8.92%</w:t>
            </w:r>
          </w:p>
        </w:tc>
        <w:tc>
          <w:tcPr>
            <w:vAlign w:val="center"/>
          </w:tcPr>
          <w:p>
            <w:pPr>
              <w:jc w:val="center"/>
            </w:pPr>
            <w:r>
              <w:rPr>
                <w:color w:val="000000"/>
                <w:sz w:val="24"/>
                <w:szCs w:val="24"/>
              </w:rPr>
              <w:t>1.02%</w:t>
            </w:r>
          </w:p>
        </w:tc>
        <w:tc>
          <w:tcPr>
            <w:vAlign w:val="center"/>
          </w:tcPr>
          <w:p>
            <w:pPr>
              <w:jc w:val="center"/>
            </w:pPr>
            <w:r>
              <w:rPr>
                <w:color w:val="000000"/>
                <w:sz w:val="24"/>
                <w:szCs w:val="24"/>
              </w:rPr>
              <w:t>-2.16%</w:t>
            </w:r>
          </w:p>
        </w:tc>
        <w:tc>
          <w:tcPr>
            <w:vAlign w:val="center"/>
          </w:tcPr>
          <w:p>
            <w:pPr>
              <w:jc w:val="center"/>
            </w:pPr>
            <w:r>
              <w:rPr>
                <w:color w:val="000000"/>
                <w:sz w:val="24"/>
                <w:szCs w:val="24"/>
              </w:rPr>
              <w:t>0.45%</w:t>
            </w:r>
          </w:p>
        </w:tc>
        <w:tc>
          <w:tcPr>
            <w:vAlign w:val="center"/>
          </w:tcPr>
          <w:p>
            <w:pPr>
              <w:jc w:val="center"/>
            </w:pPr>
            <w:r>
              <w:rPr>
                <w:color w:val="000000"/>
                <w:sz w:val="24"/>
                <w:szCs w:val="24"/>
              </w:rPr>
              <w:t>11.08%</w:t>
            </w:r>
          </w:p>
        </w:tc>
        <w:tc>
          <w:tcPr>
            <w:vAlign w:val="center"/>
          </w:tcPr>
          <w:p>
            <w:pPr>
              <w:jc w:val="center"/>
            </w:pPr>
            <w:r>
              <w:rPr>
                <w:color w:val="000000"/>
                <w:sz w:val="24"/>
                <w:szCs w:val="24"/>
              </w:rPr>
              <w:t>0.57%</w:t>
            </w:r>
          </w:p>
        </w:tc>
      </w:tr>
    </w:tbl>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P="00C15CAC" w:rsidR="008606B6" w:rsidRDefault="008606B6" w:rsidRPr="00414345">
      <w:pPr>
        <w:spacing w:before="29" w:line="288" w:lineRule="auto"/>
        <w:jc w:val="center"/>
        <w:rPr>
          <w:color w:val="000000"/>
          <w:sz w:val="24"/>
          <w:szCs w:val="24"/>
        </w:rPr>
      </w:pPr>
      <w:r w:rsidRPr="00414345">
        <w:rPr>
          <w:color w:val="000000"/>
          <w:sz w:val="24"/>
          <w:szCs w:val="24"/>
        </w:rPr>
        <w:t>交银施罗德定期支付双息平衡混合型证券投资基金</w:t>
      </w:r>
    </w:p>
    <w:p w:rsidP="00C15CAC" w:rsidR="004061AC" w:rsidRDefault="00B56F53" w:rsidRPr="00414345">
      <w:pPr>
        <w:pStyle w:val="a5"/>
        <w:snapToGrid w:val="0"/>
        <w:spacing w:before="29" w:line="288" w:lineRule="auto"/>
        <w:jc w:val="center"/>
        <w:rPr>
          <w:rFonts w:ascii="Times New Roman" w:cs="Times New Roman" w:hAnsi="Times New Roman"/>
          <w:color w:val="000000"/>
          <w:sz w:val="24"/>
          <w:szCs w:val="24"/>
        </w:rPr>
      </w:pPr>
      <w:r w:rsidRPr="00414345">
        <w:rPr>
          <w:rFonts w:ascii="Times New Roman" w:cs="Times New Roman" w:hAnsi="Times New Roman"/>
          <w:color w:val="000000"/>
          <w:sz w:val="24"/>
          <w:szCs w:val="24"/>
        </w:rPr>
        <w:t>份额累计净值增长率与业绩比较基准收益率历史走势对比图</w:t>
      </w:r>
    </w:p>
    <w:p w:rsidP="00C15CAC" w:rsidR="00AE7962" w:rsidRDefault="00DE4B43" w:rsidRPr="00414345">
      <w:pPr>
        <w:pStyle w:val="a5"/>
        <w:snapToGrid w:val="0"/>
        <w:spacing w:before="29" w:line="288" w:lineRule="auto"/>
        <w:ind w:firstLine="480"/>
        <w:jc w:val="center"/>
        <w:rPr>
          <w:rFonts w:ascii="Times New Roman" w:cs="Times New Roman" w:hAnsi="Times New Roman"/>
          <w:sz w:val="24"/>
          <w:szCs w:val="24"/>
        </w:rPr>
      </w:pPr>
      <w:r w:rsidRPr="00414345">
        <w:rPr>
          <w:rFonts w:ascii="Times New Roman" w:cs="Times New Roman" w:hAnsi="Times New Roman"/>
          <w:color w:val="000000"/>
          <w:sz w:val="24"/>
          <w:szCs w:val="24"/>
        </w:rPr>
        <w:lastRenderedPageBreak/>
        <w:t>（</w:t>
      </w:r>
      <w:r w:rsidR="0042009D" w:rsidRPr="00414345">
        <w:rPr>
          <w:rFonts w:ascii="Times New Roman" w:cs="Times New Roman" w:hAnsi="Times New Roman"/>
          <w:sz w:val="24"/>
          <w:szCs w:val="24"/>
        </w:rPr>
        <w:t>2013年9月4日</w:t>
      </w:r>
      <w:r w:rsidR="00AE7962" w:rsidRPr="00414345">
        <w:rPr>
          <w:rFonts w:ascii="Times New Roman" w:cs="Times New Roman" w:hAnsi="Times New Roman"/>
          <w:sz w:val="24"/>
          <w:szCs w:val="24"/>
        </w:rPr>
        <w:t>至</w:t>
      </w:r>
      <w:r w:rsidR="00AE7962" w:rsidRPr="00414345">
        <w:rPr>
          <w:rFonts w:ascii="Times New Roman" w:cs="Times New Roman" w:hAnsi="Times New Roman"/>
          <w:sz w:val="24"/>
          <w:szCs w:val="24"/>
        </w:rPr>
        <w:t>2019年9月30日</w:t>
      </w:r>
      <w:r w:rsidRPr="00414345">
        <w:rPr>
          <w:rFonts w:ascii="Times New Roman" w:cs="Times New Roman" w:hAnsi="Times New Roman"/>
          <w:color w:val="000000"/>
          <w:sz w:val="24"/>
          <w:szCs w:val="24"/>
        </w:rPr>
        <w:t>）</w:t>
      </w:r>
    </w:p>
    <w:p w:rsidP="00C15CAC" w:rsidR="004061AC" w:rsidRDefault="00B816A7" w:rsidRPr="00414345">
      <w:pPr>
        <w:pStyle w:val="a5"/>
        <w:snapToGrid w:val="0"/>
        <w:spacing w:before="29" w:line="288" w:lineRule="auto"/>
        <w:jc w:val="center"/>
        <w:rPr>
          <w:rFonts w:ascii="Times New Roman" w:cs="Times New Roman" w:hAnsi="Times New Roman"/>
          <w:color w:val="000000"/>
          <w:sz w:val="24"/>
          <w:szCs w:val="24"/>
        </w:rPr>
      </w:pPr>
      <w:r w:rsidRPr="00414345">
        <w:rPr>
          <w:rFonts w:ascii="Times New Roman" w:cs="Times New Roman" w:hAnsi="Times New Roman"/>
          <w:noProof/>
          <w:color w:val="000000"/>
          <w:sz w:val="24"/>
          <w:szCs w:val="24"/>
        </w:rPr>
        <w:drawing>
          <wp:inline distB="0" distL="0" distR="0" distT="0">
            <wp:extent cx="5731510" cy="3356610"/>
            <wp:effectExtent b="0" l="19050" r="2540" t="0"/>
            <wp:docPr descr="走势图1.jpg"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4"/>
                    <a:stretch>
                      <a:fillRect/>
                    </a:stretch>
                  </pic:blipFill>
                  <pic:spPr>
                    <a:xfrm>
                      <a:off x="0" y="0"/>
                      <a:ext cx="5731510" cy="3356610"/>
                    </a:xfrm>
                    <a:prstGeom prst="rect">
                      <a:avLst/>
                    </a:prstGeom>
                  </pic:spPr>
                </pic:pic>
              </a:graphicData>
            </a:graphic>
          </wp:inline>
        </w:drawing>
      </w:r>
    </w:p>
    <w:p w:rsidP="00C15CAC" w:rsidR="004061AC" w:rsidRDefault="001C79F2"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8700EC" w:rsidRPr="00414345">
        <w:rPr>
          <w:color w:val="000000"/>
          <w:sz w:val="24"/>
          <w:szCs w:val="24"/>
        </w:rPr>
        <w:t/>
      </w:r>
      <w:r w:rsidRPr="00414345">
        <w:rPr>
          <w:color w:val="000000"/>
          <w:sz w:val="24"/>
          <w:szCs w:val="24"/>
        </w:rPr>
        <w:t/>
      </w:r>
      <w:r w:rsidR="004061AC" w:rsidRPr="00414345">
        <w:rPr>
          <w:color w:val="000000"/>
          <w:sz w:val="24"/>
          <w:szCs w:val="24"/>
        </w:rPr>
        <w:t>注：本基金建仓期为自基金合同生效日起的6个月。截至建仓期结束，本基金各项资产配置比例符合基金合同及招募说明书有关投资比例的约定。</w:t>
      </w:r>
    </w:p>
    <w:p w:rsidP="00C15CAC" w:rsidR="00957594" w:rsidRDefault="00957594" w:rsidRPr="00414345">
      <w:pPr>
        <w:tabs>
          <w:tab w:pos="1800" w:val="left"/>
        </w:tabs>
        <w:spacing w:before="29" w:line="288" w:lineRule="auto"/>
        <w:rPr>
          <w:color w:val="000000"/>
          <w:sz w:val="24"/>
          <w:szCs w:val="24"/>
        </w:rPr>
      </w:pPr>
    </w:p>
    <w:p w:rsidP="00C15CAC" w:rsidR="00693843" w:rsidRDefault="00693843" w:rsidRPr="00414345">
      <w:pPr>
        <w:tabs>
          <w:tab w:pos="1800" w:val="left"/>
        </w:tabs>
        <w:spacing w:before="29" w:line="288" w:lineRule="auto"/>
        <w:rPr>
          <w:color w:val="00000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P="00C15CAC" w:rsidR="00B12B7D"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0" w:val="00A0"/>
      </w:tblPr>
      <w:tblGrid>
        <w:gridCol w:w="846"/>
        <w:gridCol w:w="845"/>
        <w:gridCol w:w="1549"/>
        <w:gridCol w:w="1548"/>
        <w:gridCol w:w="1407"/>
        <w:gridCol w:w="2673"/>
      </w:tblGrid>
      <w:tr w:rsidR="00286BEF" w:rsidRPr="00414345" w:rsidTr="006A10AB">
        <w:trPr>
          <w:trHeight w:val="292"/>
          <w:jc w:val="center"/>
        </w:trPr>
        <w:tc>
          <w:tcPr>
            <w:tcW w:type="dxa" w:w="851"/>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type="dxa" w:w="850"/>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type="dxa" w:w="3119"/>
            <w:gridSpan w:val="2"/>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type="dxa" w:w="1417"/>
            <w:vMerge w:val="restart"/>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w:t>
            </w:r>
            <w:r w:rsidRPr="00414345">
              <w:rPr>
                <w:color w:val="000000"/>
                <w:kern w:val="0"/>
                <w:sz w:val="24"/>
                <w:szCs w:val="24"/>
              </w:rPr>
              <w:lastRenderedPageBreak/>
              <w:t>年限</w:t>
            </w:r>
          </w:p>
        </w:tc>
        <w:tc>
          <w:tcPr>
            <w:tcW w:type="dxa" w:w="2694"/>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lastRenderedPageBreak/>
              <w:t>说明</w:t>
            </w:r>
          </w:p>
        </w:tc>
      </w:tr>
      <w:tr w:rsidR="00D13737" w:rsidRPr="00414345" w:rsidTr="006A10AB">
        <w:trPr>
          <w:jc w:val="center"/>
        </w:trPr>
        <w:tc>
          <w:tcPr>
            <w:tcW w:type="dxa" w:w="851"/>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850"/>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1560"/>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type="dxa" w:w="1559"/>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type="dxa" w:w="1417"/>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2694"/>
            <w:vMerge/>
            <w:vAlign w:val="center"/>
          </w:tcPr>
          <w:p w:rsidP="00C15CAC" w:rsidR="004061AC" w:rsidRDefault="004061AC" w:rsidRPr="00414345">
            <w:pPr>
              <w:widowControl/>
              <w:spacing w:before="29" w:line="288" w:lineRule="auto"/>
              <w:jc w:val="left"/>
              <w:rPr>
                <w:color w:val="000000"/>
                <w:kern w:val="0"/>
                <w:sz w:val="24"/>
                <w:szCs w:val="24"/>
              </w:rPr>
            </w:pPr>
          </w:p>
        </w:tc>
      </w:tr>
      <w:tr>
        <w:tc>
          <w:tcPr>
            <w:vAlign w:val="center"/>
          </w:tcPr>
          <w:p>
            <w:pPr>
              <w:jc w:val="center"/>
            </w:pPr>
            <w:r>
              <w:rPr>
                <w:color w:val="000000"/>
                <w:sz w:val="24"/>
                <w:szCs w:val="24"/>
              </w:rPr>
              <w:t>杨浩</w:t>
            </w:r>
          </w:p>
        </w:tc>
        <w:tc>
          <w:tcPr>
            <w:vAlign w:val="center"/>
          </w:tcPr>
          <w:p>
            <w:pPr>
              <w:jc w:val="center"/>
            </w:pPr>
            <w:r>
              <w:rPr>
                <w:color w:val="000000"/>
                <w:sz w:val="24"/>
                <w:szCs w:val="24"/>
              </w:rPr>
              <w:t>交银定期支付双息平衡混合、交银新生活力灵活配置混合的基金经理</w:t>
            </w:r>
          </w:p>
        </w:tc>
        <w:tc>
          <w:tcPr>
            <w:vAlign w:val="center"/>
          </w:tcPr>
          <w:p>
            <w:pPr>
              <w:jc w:val="center"/>
            </w:pPr>
            <w:r>
              <w:rPr>
                <w:color w:val="000000"/>
                <w:sz w:val="24"/>
                <w:szCs w:val="24"/>
              </w:rPr>
              <w:t>2015-08-15</w:t>
            </w:r>
          </w:p>
        </w:tc>
        <w:tc>
          <w:tcPr>
            <w:vAlign w:val="center"/>
          </w:tcPr>
          <w:p>
            <w:pPr>
              <w:jc w:val="center"/>
            </w:pPr>
            <w:r>
              <w:rPr>
                <w:color w:val="000000"/>
                <w:sz w:val="24"/>
                <w:szCs w:val="24"/>
              </w:rPr>
              <w:t>-</w:t>
            </w:r>
          </w:p>
        </w:tc>
        <w:tc>
          <w:tcPr>
            <w:vAlign w:val="center"/>
          </w:tcPr>
          <w:p>
            <w:pPr>
              <w:jc w:val="center"/>
            </w:pPr>
            <w:r>
              <w:rPr>
                <w:color w:val="000000"/>
                <w:sz w:val="24"/>
                <w:szCs w:val="24"/>
              </w:rPr>
              <w:t>9年</w:t>
            </w:r>
          </w:p>
        </w:tc>
        <w:tc>
          <w:tcPr>
            <w:vAlign w:val="center"/>
          </w:tcPr>
          <w:p>
            <w:pPr>
              <w:jc w:val="both"/>
            </w:pPr>
            <w:r>
              <w:rPr>
                <w:color w:val="000000"/>
                <w:sz w:val="24"/>
                <w:szCs w:val="24"/>
              </w:rPr>
              <w:t>杨浩先生，北京邮电大学通信与信息系统专业硕士。2010年加入交银施罗德基金管理有限公司，历任行业分析师。</w:t>
            </w:r>
          </w:p>
        </w:tc>
      </w:tr>
    </w:tbl>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注：基金经理（或基金经理小组）期后变动（如有）敬请关注基金管理人发布的相关公告。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P="00C15CAC" w:rsidR="004061AC" w:rsidRDefault="004061AC" w:rsidRPr="00414345">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pPr>
        <w:spacing w:before="29" w:line="288" w:lineRule="auto"/>
        <w:ind w:firstLine="480" w:firstLineChars="20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
      </w:r>
      <w:r w:rsidR="00957594" w:rsidRPr="00414345">
        <w:rPr>
          <w:color w:val="000000"/>
          <w:sz w:val="24"/>
          <w:szCs w:val="24"/>
        </w:rPr>
        <w:t/>
      </w:r>
      <w:r w:rsidRPr="00414345">
        <w:rPr>
          <w:color w:val="000000"/>
          <w:sz w:val="24"/>
          <w:szCs w:val="24"/>
        </w:rPr>
        <w:t>报告期内本公司严格执行公平交易制度，公平对待旗下各投资组合，未发现任何违反公平交易的行为。</w:t>
      </w:r>
    </w:p>
    <w:p w:rsidP="00C15CAC" w:rsidR="004061AC" w:rsidRDefault="004061AC" w:rsidRPr="00414345">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P="00C15CAC" w:rsidR="004061AC" w:rsidRDefault="00957594" w:rsidRPr="00414345">
      <w:pPr>
        <w:spacing w:before="29" w:line="288" w:lineRule="auto"/>
        <w:ind w:firstLine="480" w:firstLineChars="20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P="00C15CAC" w:rsidR="004061AC" w:rsidRDefault="004061AC" w:rsidRPr="00414345">
      <w:pPr>
        <w:spacing w:before="29" w:line="288" w:lineRule="auto"/>
        <w:ind w:firstLine="480" w:firstLineChars="200"/>
        <w:rPr>
          <w:color w:val="000000"/>
          <w:sz w:val="24"/>
          <w:szCs w:val="24"/>
        </w:rPr>
      </w:pPr>
    </w:p>
    <w:p w:rsidP="00C15CAC" w:rsidR="004061AC" w:rsidRDefault="00D44EE8" w:rsidRPr="00414345">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pPr>
        <w:spacing w:before="29" w:line="288" w:lineRule="auto"/>
        <w:ind w:firstLine="480" w:firstLineChars="200"/>
        <w:rPr>
          <w:color w:val="000000"/>
          <w:sz w:val="24"/>
          <w:szCs w:val="24"/>
        </w:rPr>
      </w:pPr>
      <w:r>
        <w:rPr>
          <w:color w:val="000000"/>
          <w:sz w:val="24"/>
          <w:szCs w:val="24"/>
        </w:rPr>
        <w:t xml:space="preserve">2019年三季度，宏观上亮点不多，但科技领域表现亮眼。在华为受到美国贸易管制后，电子高阶产业链有向国内加速迁徙的迹象，同时由于5G网络加速建设，使得电子通信业形成短期供不应求的状态，同时信息安全等软件类需求旺盛。本基金在二季报中预判到该变化，在本季度初增持了科技股，获得较好的相对收益。经过三季度以电子、通信以及医药为代表的科技股快速上涨，短期科技股的估值需要进一步业绩和时间消化，中美贸易冲突仍可能造成波动。我们认为能够创新优化结构的行业不仅是首当其冲的科技行业，许多行业都可以在经济转型中找到投资机会。 </w:t>
      </w:r>
    </w:p>
    <w:p>
      <w:pPr>
        <w:spacing w:before="29" w:line="288" w:lineRule="auto"/>
        <w:ind w:firstLine="480" w:firstLineChars="200"/>
        <w:rPr>
          <w:color w:val="000000"/>
          <w:sz w:val="24"/>
          <w:szCs w:val="24"/>
        </w:rPr>
      </w:pPr>
      <w:r>
        <w:rPr>
          <w:color w:val="000000"/>
          <w:sz w:val="24"/>
          <w:szCs w:val="24"/>
        </w:rPr>
        <w:t>我们在前期报告中指出：“从长期的角度，国内外政治经济的新常态仍然需要得到产业界和资本界的清醒认识，放弃对数量型发展模式的复辟预期，探索质量型发展模式的具象仍然任重道远。”这个中长期观点在一次次的获得验证，我们始终坚持这个观点。我们的组合管理框架分为三个维度：行业景气度、产业生命周期、企业的价值观与商业模型。这三个维度分别是短、中、长的三个视角。第一个维度——行业景气度（轮动周期），如果每次都能踩准则能获得高收益率，但事实是我们观察如果单纯从行业景气度出发，很少有持续踩对节奏的基金，反而造成基金净值大幅波动。于是我们加入了第二个维度——产业生命周期，研究产业的关联度，研究中期的东西，去找到第一个维度的先行指标（定性定量的都有），对不同阶段的公司都有一定的分布投资，这样就能形成一定对冲，对冲情绪的贝塔，沥出阿尔法的投资机会。再者，我们反复琢磨这家企业为客户创造的是什么价值，它有没有好的商业模型把为客户创造的价值转换为股东创造价值。而这些公司，即使短期不在轮动周期的风口上，它的回撤幅度也很小，而一旦景气度反转，则第一波预期差扭转的收益率是很好的。</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正因为我们的投资框架是三维度的，兼顾短中长期，聚焦阿尔法，尽量对冲波动回撤，所以建议长期投资，抢热点的短期波动可能并不适合，也不符合本基金的管理目标。我们将按照我们的组合管理框架继续进行中长期投资，持仓结构上看，我们持有政企软件、互联网服务、民生消费以及高端制造四个方向比较多。我们将继续寻找具备新时代背景的优秀公司投资，持续稳健地为持有人服务。</w:t>
      </w:r>
    </w:p>
    <w:p w:rsidP="00C15CAC" w:rsidR="00627E2D" w:rsidRDefault="00627E2D" w:rsidRPr="00414345">
      <w:pPr>
        <w:spacing w:before="29" w:line="288" w:lineRule="auto"/>
        <w:ind w:firstLine="480" w:firstLineChars="200"/>
        <w:rPr>
          <w:color w:val="000000"/>
          <w:sz w:val="24"/>
          <w:szCs w:val="24"/>
        </w:rPr>
      </w:pPr>
    </w:p>
    <w:p w:rsidP="00C15CAC" w:rsidR="004061AC" w:rsidRDefault="00D44EE8" w:rsidRPr="00414345">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本基金（各类）份额净值及业绩表现请见“3.1主要财务指标” 及“3.2.1 本报告期基金份额净值增长率及其与同期业绩比较基准收益率的比较”部分披露。</w:t>
      </w:r>
    </w:p>
    <w:p w:rsidP="00C15CAC" w:rsidR="009C5186" w:rsidRDefault="009C5186" w:rsidRPr="00414345">
      <w:pPr>
        <w:spacing w:before="29" w:line="288" w:lineRule="auto"/>
        <w:ind w:firstLine="480" w:firstLineChars="200"/>
        <w:rPr>
          <w:color w:val="000000"/>
          <w:sz w:val="24"/>
          <w:szCs w:val="24"/>
        </w:rPr>
      </w:pPr>
    </w:p>
    <w:p w:rsidP="00421CD2" w:rsidR="00421CD2" w:rsidRDefault="00421CD2" w:rsidRPr="002070B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421CD2" w:rsidR="00421CD2" w:rsidRDefault="00421CD2">
      <w:pPr>
        <w:spacing w:before="29" w:line="288" w:lineRule="auto"/>
        <w:ind w:firstLine="480" w:firstLineChars="200"/>
        <w:rPr>
          <w:color w:val="000000"/>
          <w:sz w:val="24"/>
        </w:rPr>
      </w:pPr>
      <w:r w:rsidRPr="002070B4">
        <w:rPr>
          <w:color w:val="000000"/>
          <w:sz w:val="24"/>
        </w:rPr>
        <w:t>本基金本报告期内无需预警说明。</w:t>
      </w: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P="00BF0019" w:rsidR="00BF0019" w:rsidRDefault="00BF0019">
      <w:pPr>
        <w:autoSpaceDE w:val="0"/>
        <w:autoSpaceDN w:val="0"/>
        <w:adjustRightInd w:val="0"/>
        <w:spacing w:line="360" w:lineRule="auto"/>
        <w:jc w:val="left"/>
        <w:rPr>
          <w:rFonts w:eastAsiaTheme="minorEastAsia"/>
          <w:b/>
          <w:color w:themeColor="text1" w:val="000000"/>
          <w:kern w:val="0"/>
          <w:sz w:val="24"/>
          <w:szCs w:val="24"/>
        </w:rPr>
      </w:pPr>
      <w:r w:rsidRPr="007B5F21">
        <w:rPr>
          <w:rFonts w:eastAsiaTheme="minorEastAsia"/>
          <w:b/>
          <w:color w:themeColor="text1" w:val="000000"/>
          <w:kern w:val="0"/>
          <w:sz w:val="24"/>
          <w:szCs w:val="24"/>
        </w:rPr>
        <w:t xml:space="preserve">5.1 </w:t>
      </w:r>
      <w:r w:rsidRPr="007B5F21">
        <w:rPr>
          <w:rFonts w:eastAsiaTheme="minorEastAsia"/>
          <w:b/>
          <w:color w:themeColor="text1" w:val="000000"/>
          <w:kern w:val="0"/>
          <w:sz w:val="24"/>
          <w:szCs w:val="24"/>
        </w:rPr>
        <w:t>报告期末基金资产组合情况</w:t>
      </w:r>
    </w:p>
    <w:p w:rsidP="009C1009" w:rsidR="006B5F69" w:rsidRDefault="009C1009" w:rsidRPr="007B5F21">
      <w:pPr>
        <w:autoSpaceDE w:val="0"/>
        <w:autoSpaceDN w:val="0"/>
        <w:adjustRightInd w:val="0"/>
        <w:spacing w:line="360" w:lineRule="auto"/>
        <w:jc w:val="right"/>
        <w:rPr>
          <w:rFonts w:eastAsiaTheme="minorEastAsia"/>
          <w:b/>
          <w:color w:themeColor="text1" w:val="000000"/>
          <w:kern w:val="0"/>
          <w:sz w:val="24"/>
          <w:szCs w:val="24"/>
        </w:rPr>
      </w:pPr>
      <w:r w:rsidRPr="009C1009">
        <w:rPr>
          <w:rFonts w:hint="eastAsia"/>
          <w:color w:val="000000"/>
          <w:kern w:val="0"/>
        </w:rPr>
        <w:t/>
      </w:r>
      <w:r w:rsidRPr="009C1009">
        <w:rPr>
          <w:rFonts w:hint="eastAsia"/>
          <w:color w:val="000000"/>
          <w:kern w:val="0"/>
        </w:rPr>
        <w:t>金额单位：人民币元</w:t>
      </w:r>
    </w:p>
    <w:tbl>
      <w:tblPr>
        <w:tblStyle w:val="af7"/>
        <w:tblW w:type="dxa" w:w="8897"/>
        <w:tblInd w:type="dxa" w:w="108"/>
        <w:tblLayout w:type="fixed"/>
        <w:tblLook w:firstColumn="1" w:firstRow="1" w:lastColumn="0" w:lastRow="0" w:noHBand="0" w:noVBand="1" w:val="04A0"/>
      </w:tblPr>
      <w:tblGrid>
        <w:gridCol w:w="720"/>
        <w:gridCol w:w="2682"/>
        <w:gridCol w:w="2552"/>
        <w:gridCol w:w="2943"/>
      </w:tblGrid>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序号</w:t>
            </w:r>
          </w:p>
        </w:tc>
        <w:tc>
          <w:tcPr>
            <w:tcW w:type="dxa" w:w="2682"/>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项目</w:t>
            </w:r>
          </w:p>
        </w:tc>
        <w:tc>
          <w:tcPr>
            <w:tcW w:type="dxa" w:w="2552"/>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金额</w:t>
            </w:r>
          </w:p>
        </w:tc>
        <w:tc>
          <w:tcPr>
            <w:tcW w:type="dxa" w:w="2943"/>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占基金总资产的比例</w:t>
            </w:r>
            <w:r w:rsidR="0018138B">
              <w:rPr>
                <w:rFonts w:eastAsiaTheme="minorEastAsia" w:hint="eastAsia"/>
                <w:color w:themeColor="text1" w:val="000000"/>
                <w:sz w:val="24"/>
                <w:szCs w:val="24"/>
              </w:rPr>
              <w:t>(</w:t>
            </w:r>
            <w:r w:rsidR="0018138B">
              <w:rPr>
                <w:rFonts w:eastAsiaTheme="minorEastAsia"/>
                <w:color w:themeColor="text1" w:val="000000"/>
                <w:sz w:val="24"/>
                <w:szCs w:val="24"/>
              </w:rPr>
              <w:t>%</w:t>
            </w:r>
            <w:r w:rsidR="0018138B">
              <w:rPr>
                <w:rFonts w:eastAsiaTheme="minorEastAsia" w:hint="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lastRenderedPageBreak/>
              <w:t>1</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权益投资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1,136,706,409.39</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66.97</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其中：股票</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1,136,706,409.39</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66.97</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2</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ascii="宋体" w:hAnsi="宋体" w:hint="eastAsia"/>
                <w:sz w:val="24"/>
                <w:szCs w:val="24"/>
              </w:rPr>
              <w:t>基金投资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hint="eastAsia"/>
                <w:color w:themeColor="text1" w:val="000000"/>
                <w:sz w:val="24"/>
                <w:szCs w:val="24"/>
              </w:rPr>
              <w:t/>
            </w:r>
            <w:r w:rsidRPr="007B5F21">
              <w:rPr>
                <w:rFonts w:eastAsiaTheme="minorEastAsia"/>
                <w:color w:themeColor="text1" w:val="000000"/>
                <w:sz w:val="24"/>
                <w:szCs w:val="24"/>
              </w:rPr>
              <w:t/>
            </w:r>
            <w:r w:rsidRPr="007B5F21">
              <w:rPr>
                <w:rFonts w:eastAsiaTheme="minorEastAsia" w:hint="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hint="eastAsia"/>
                <w:color w:themeColor="text1" w:val="000000"/>
                <w:sz w:val="24"/>
                <w:szCs w:val="24"/>
              </w:rPr>
              <w:t/>
            </w:r>
            <w:r w:rsidRPr="007B5F21">
              <w:rPr>
                <w:rFonts w:eastAsiaTheme="minorEastAsia"/>
                <w:color w:themeColor="text1" w:val="000000"/>
                <w:sz w:val="24"/>
                <w:szCs w:val="24"/>
              </w:rPr>
              <w:t/>
            </w:r>
            <w:r w:rsidRPr="007B5F21">
              <w:rPr>
                <w:rFonts w:eastAsiaTheme="minorEastAsia" w:hint="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3</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固定收益投资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其中：债券</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7B5F21" w:rsidR="00BF0019" w:rsidRDefault="00BF0019" w:rsidRPr="007B5F21">
            <w:pPr>
              <w:autoSpaceDE w:val="0"/>
              <w:autoSpaceDN w:val="0"/>
              <w:adjustRightInd w:val="0"/>
              <w:spacing w:before="29" w:line="360" w:lineRule="auto"/>
              <w:ind w:firstLine="720" w:firstLineChars="300" w:left="17"/>
              <w:jc w:val="left"/>
              <w:rPr>
                <w:rFonts w:eastAsiaTheme="minorEastAsia"/>
                <w:color w:themeColor="text1" w:val="000000"/>
                <w:sz w:val="24"/>
                <w:szCs w:val="24"/>
              </w:rPr>
            </w:pPr>
            <w:r w:rsidRPr="007B5F21">
              <w:rPr>
                <w:rFonts w:eastAsiaTheme="minorEastAsia"/>
                <w:color w:themeColor="text1" w:val="000000"/>
                <w:sz w:val="24"/>
                <w:szCs w:val="24"/>
              </w:rPr>
              <w:t>资产支持证券</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4</w:t>
            </w:r>
          </w:p>
        </w:tc>
        <w:tc>
          <w:tcPr>
            <w:tcW w:type="dxa" w:w="2682"/>
            <w:vAlign w:val="center"/>
          </w:tcPr>
          <w:p w:rsidP="002D2971" w:rsidR="00BF0019" w:rsidRDefault="00BF0019" w:rsidRPr="007B5F21">
            <w:pPr>
              <w:spacing w:before="29" w:line="360" w:lineRule="auto"/>
              <w:ind w:left="105" w:leftChars="50"/>
              <w:rPr>
                <w:rFonts w:eastAsiaTheme="minorEastAsia"/>
                <w:color w:themeColor="text1" w:val="000000"/>
                <w:sz w:val="24"/>
                <w:szCs w:val="24"/>
              </w:rPr>
            </w:pPr>
            <w:r w:rsidRPr="007B5F21">
              <w:rPr>
                <w:rFonts w:eastAsiaTheme="minorEastAsia"/>
                <w:color w:themeColor="text1" w:val="000000"/>
                <w:sz w:val="24"/>
                <w:szCs w:val="24"/>
              </w:rPr>
              <w:t>贵金属投资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5</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金融衍生品投资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6</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买入返售金融资产</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color w:themeColor="text1" w:val="000000"/>
                <w:sz w:val="24"/>
                <w:szCs w:val="24"/>
              </w:rPr>
              <w:lastRenderedPageBreak/>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lastRenderedPageBreak/>
              <w:t/>
            </w:r>
            <w:r w:rsidRPr="007B5F21">
              <w:rPr>
                <w:rFonts w:eastAsiaTheme="minorEastAsia"/>
                <w:color w:themeColor="text1" w:val="000000"/>
                <w:sz w:val="24"/>
                <w:szCs w:val="24"/>
              </w:rPr>
              <w:lastRenderedPageBreak/>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其中：买断式回购的买入返售金融资产</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7</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银行存款和结算备付金合计</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548,879,788.46</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32.34</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hint="eastAsia"/>
                <w:color w:themeColor="text1" w:val="000000"/>
                <w:sz w:val="24"/>
                <w:szCs w:val="24"/>
              </w:rPr>
              <w:t/>
            </w:r>
            <w:r w:rsidRPr="007B5F21">
              <w:rPr>
                <w:rFonts w:eastAsiaTheme="minorEastAsia"/>
                <w:color w:themeColor="text1" w:val="000000"/>
                <w:sz w:val="24"/>
                <w:szCs w:val="24"/>
              </w:rPr>
              <w:t>8</w:t>
            </w:r>
          </w:p>
        </w:tc>
        <w:tc>
          <w:tcPr>
            <w:tcW w:type="dxa" w:w="2682"/>
            <w:vAlign w:val="center"/>
          </w:tcPr>
          <w:p w:rsidP="002D2971" w:rsidR="00BF0019" w:rsidRDefault="00BF0019" w:rsidRPr="007B5F21">
            <w:pPr>
              <w:spacing w:line="360" w:lineRule="auto"/>
              <w:rPr>
                <w:rFonts w:eastAsiaTheme="minorEastAsia"/>
                <w:color w:themeColor="text1" w:val="000000"/>
                <w:sz w:val="24"/>
                <w:szCs w:val="24"/>
              </w:rPr>
            </w:pPr>
            <w:r w:rsidRPr="007B5F21">
              <w:rPr>
                <w:rFonts w:eastAsiaTheme="minorEastAsia"/>
                <w:color w:themeColor="text1" w:val="000000"/>
                <w:sz w:val="24"/>
                <w:szCs w:val="24"/>
              </w:rPr>
              <w:t>其他各项资产</w:t>
            </w:r>
          </w:p>
        </w:tc>
        <w:tc>
          <w:tcPr>
            <w:tcW w:type="dxa" w:w="2552"/>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11,841,819.53</w:t>
            </w:r>
          </w:p>
        </w:tc>
        <w:tc>
          <w:tcPr>
            <w:tcW w:type="dxa" w:w="2943"/>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0.70</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hint="eastAsia"/>
                <w:color w:themeColor="text1" w:val="000000"/>
                <w:sz w:val="24"/>
                <w:szCs w:val="24"/>
              </w:rPr>
              <w:t/>
            </w:r>
            <w:r w:rsidRPr="007B5F21">
              <w:rPr>
                <w:rFonts w:eastAsiaTheme="minorEastAsia"/>
                <w:color w:themeColor="text1" w:val="000000"/>
                <w:sz w:val="24"/>
                <w:szCs w:val="24"/>
              </w:rPr>
              <w:t>9</w:t>
            </w:r>
          </w:p>
        </w:tc>
        <w:tc>
          <w:tcPr>
            <w:tcW w:type="dxa" w:w="2682"/>
            <w:vAlign w:val="center"/>
          </w:tcPr>
          <w:p w:rsidP="002D2971" w:rsidR="00BF0019" w:rsidRDefault="00BF0019" w:rsidRPr="007B5F21">
            <w:pPr>
              <w:spacing w:line="360" w:lineRule="auto"/>
              <w:rPr>
                <w:rFonts w:eastAsiaTheme="minorEastAsia"/>
                <w:color w:themeColor="text1" w:val="000000"/>
                <w:sz w:val="24"/>
                <w:szCs w:val="24"/>
              </w:rPr>
            </w:pPr>
            <w:r w:rsidRPr="007B5F21">
              <w:rPr>
                <w:rFonts w:eastAsiaTheme="minorEastAsia"/>
                <w:color w:themeColor="text1" w:val="000000"/>
                <w:sz w:val="24"/>
                <w:szCs w:val="24"/>
              </w:rPr>
              <w:t>合计</w:t>
            </w:r>
          </w:p>
        </w:tc>
        <w:tc>
          <w:tcPr>
            <w:tcW w:type="dxa" w:w="2552"/>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1,697,428,017.38</w:t>
            </w:r>
          </w:p>
        </w:tc>
        <w:tc>
          <w:tcPr>
            <w:tcW w:type="dxa" w:w="2943"/>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100.00</w:t>
            </w:r>
          </w:p>
        </w:tc>
      </w:tr>
    </w:tbl>
    <w:p w:rsidP="00C15CAC" w:rsidR="004061AC" w:rsidRDefault="004061AC" w:rsidRPr="00414345">
      <w:pPr>
        <w:autoSpaceDE w:val="0"/>
        <w:autoSpaceDN w:val="0"/>
        <w:adjustRightInd w:val="0"/>
        <w:spacing w:before="29" w:line="288" w:lineRule="auto"/>
        <w:jc w:val="left"/>
        <w:rPr>
          <w:color w:val="00000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P="00F51C4E" w:rsidR="00F51C4E" w:rsidRDefault="00F51C4E">
      <w:pPr>
        <w:rPr>
          <w:rFonts w:eastAsiaTheme="minorEastAsia"/>
          <w:b/>
          <w:color w:themeColor="text1" w:val="000000"/>
          <w:kern w:val="0"/>
          <w:sz w:val="24"/>
        </w:rPr>
      </w:pPr>
      <w:r w:rsidRPr="004A3846">
        <w:rPr>
          <w:b/>
          <w:color w:themeColor="text1" w:val="000000"/>
          <w:sz w:val="24"/>
        </w:rPr>
        <w:t/>
      </w:r>
      <w:r w:rsidRPr="004A3846">
        <w:rPr>
          <w:rFonts w:eastAsiaTheme="minorEastAsia" w:hint="eastAsia"/>
          <w:b/>
          <w:color w:themeColor="text1" w:val="000000"/>
          <w:kern w:val="0"/>
          <w:sz w:val="24"/>
        </w:rPr>
        <w:t>5.2.1</w:t>
      </w:r>
      <w:r w:rsidRPr="004A3846">
        <w:rPr>
          <w:rFonts w:eastAsiaTheme="minorEastAsia" w:hint="eastAsia"/>
          <w:b/>
          <w:color w:themeColor="text1" w:val="000000"/>
          <w:kern w:val="0"/>
          <w:sz w:val="24"/>
        </w:rPr>
        <w:t>报告期末按行业分类的境内股票投资组合</w:t>
      </w:r>
    </w:p>
    <w:p w:rsidP="009C1009" w:rsidR="007B2639" w:rsidRDefault="009C1009" w:rsidRPr="007B2639">
      <w:pPr>
        <w:jc w:val="right"/>
        <w:rPr>
          <w:sz w:val="24"/>
        </w:rPr>
      </w:pPr>
      <w:r w:rsidRPr="009C1009">
        <w:rPr>
          <w:rFonts w:eastAsiaTheme="minorEastAsia" w:hint="eastAsia"/>
          <w:color w:themeColor="text1" w:val="000000"/>
          <w:kern w:val="0"/>
          <w:sz w:val="24"/>
        </w:rPr>
        <w:t/>
      </w:r>
      <w:r w:rsidRPr="009C1009">
        <w:rPr>
          <w:rFonts w:eastAsiaTheme="minorEastAsia" w:hint="eastAsia"/>
          <w:color w:themeColor="text1" w:val="000000"/>
          <w:kern w:val="0"/>
          <w:sz w:val="24"/>
        </w:rPr>
        <w:t>金额单位：人民币元</w:t>
      </w:r>
    </w:p>
    <w:tbl>
      <w:tblPr>
        <w:tblW w:type="dxa" w:w="8868"/>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1"/>
          <w:left w:type="dxa" w:w="0"/>
          <w:bottom w:type="dxa" w:w="-1"/>
          <w:right w:type="dxa" w:w="0"/>
        </w:tblCellMar>
        <w:tblLook w:firstColumn="0" w:firstRow="0" w:lastColumn="0" w:lastRow="0" w:noHBand="0" w:noVBand="0" w:val="0000"/>
      </w:tblPr>
      <w:tblGrid>
        <w:gridCol w:w="845"/>
        <w:gridCol w:w="3544"/>
        <w:gridCol w:w="2841"/>
        <w:gridCol w:w="1638"/>
      </w:tblGrid>
      <w:tr w:rsidR="00531F10" w:rsidRPr="00414345" w:rsidTr="006C2C1B">
        <w:trPr>
          <w:trHeight w:val="390"/>
          <w:jc w:val="center"/>
        </w:trPr>
        <w:tc>
          <w:tcPr>
            <w:tcW w:type="dxa" w:w="845"/>
            <w:tcBorders>
              <w:top w:color="000000" w:space="0" w:sz="4" w:val="single"/>
              <w:left w:color="000000"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代码</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行业类别</w:t>
            </w:r>
            <w:r w:rsidR="005E475E" w:rsidRPr="00414345">
              <w:rPr>
                <w:sz w:val="24"/>
                <w:szCs w:val="24"/>
              </w:rPr>
              <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B11F31" w:rsidRPr="00414345">
            <w:pPr>
              <w:adjustRightInd w:val="0"/>
              <w:snapToGrid w:val="0"/>
              <w:spacing w:before="29" w:line="288" w:lineRule="auto"/>
              <w:jc w:val="center"/>
              <w:rPr>
                <w:sz w:val="24"/>
                <w:szCs w:val="24"/>
              </w:rPr>
            </w:pPr>
            <w:r>
              <w:rPr>
                <w:sz w:val="24"/>
                <w:szCs w:val="24"/>
              </w:rPr>
              <w:t>公允价值</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lastRenderedPageBreak/>
              <w:t>A</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农、林、牧、渔业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autoSpaceDE w:val="0"/>
              <w:autoSpaceDN w:val="0"/>
              <w:adjustRightInd w:val="0"/>
              <w:spacing w:before="29" w:line="288" w:lineRule="auto"/>
              <w:ind w:left="15"/>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utoSpaceDE w:val="0"/>
              <w:autoSpaceDN w:val="0"/>
              <w:adjustRightInd w:val="0"/>
              <w:spacing w:before="29" w:line="288" w:lineRule="auto"/>
              <w:ind w:left="15"/>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B</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采矿业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1B4DD6"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1B4DD6"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C</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制造业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301,337,665.95</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18.12</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D</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电力、热力、燃气及水生产和供应业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E</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建筑业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F</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批发和零售业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G</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交通运输、仓储和邮政业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33,487,290.00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2.01</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H</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住宿和餐饮业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
            </w:r>
            <w:r w:rsidRPr="00414345">
              <w:rPr>
                <w:sz w:val="24"/>
                <w:szCs w:val="24"/>
              </w:rPr>
              <w:lastRenderedPageBreak/>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lastRenderedPageBreak/>
              <w:t/>
            </w:r>
            <w:r w:rsidRPr="00414345">
              <w:rPr>
                <w:sz w:val="24"/>
                <w:szCs w:val="24"/>
              </w:rPr>
              <w:lastRenderedPageBreak/>
              <w:t>-</w:t>
            </w:r>
          </w:p>
        </w:tc>
      </w:tr>
      <w:tr w:rsidR="00531F10" w:rsidRPr="00414345" w:rsidTr="00DC28F1">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lastRenderedPageBreak/>
              <w:t>I</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DC28F1" w:rsidR="00531F10" w:rsidRDefault="00531F10" w:rsidRPr="00414345">
            <w:pPr>
              <w:adjustRightInd w:val="0"/>
              <w:snapToGrid w:val="0"/>
              <w:spacing w:before="29" w:line="288" w:lineRule="auto"/>
              <w:rPr>
                <w:sz w:val="24"/>
                <w:szCs w:val="24"/>
              </w:rPr>
            </w:pPr>
            <w:r w:rsidRPr="00414345">
              <w:rPr>
                <w:sz w:val="24"/>
                <w:szCs w:val="24"/>
              </w:rPr>
              <w:t>信息传输、软件和信息技术服务业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378,998,000.91</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22.80</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J</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金融业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38,266.20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K</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房地产业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19,362,680.00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1.16</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L</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M</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81,751,299.92</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4.92</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N</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lastRenderedPageBreak/>
              <w:t>O</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P</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教育</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128,601,252.65</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7.73</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Q</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R</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193,129,953.76</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11.62</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S</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综合</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合计</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1,136,706,409.39</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68.37</w:t>
            </w:r>
          </w:p>
        </w:tc>
      </w:tr>
    </w:tbl>
    <w:p w:rsidP="00F51C4E" w:rsidR="00F51C4E" w:rsidRDefault="00F51C4E" w:rsidRPr="008A409E">
      <w:pPr>
        <w:jc w:val="left"/>
        <w:rPr>
          <w:rFonts w:asciiTheme="minorEastAsia" w:eastAsiaTheme="minorEastAsia" w:hAnsiTheme="minorEastAsia"/>
          <w:b/>
          <w:bCs/>
          <w:color w:themeColor="text1" w:val="000000"/>
          <w:kern w:val="0"/>
          <w:sz w:val="24"/>
        </w:rPr>
      </w:pPr>
      <w:r w:rsidRPr="008A409E">
        <w:rPr>
          <w:rFonts w:asciiTheme="minorEastAsia" w:eastAsiaTheme="minorEastAsia" w:hAnsiTheme="minorEastAsia"/>
          <w:b/>
          <w:bCs/>
          <w:color w:themeColor="text1" w:val="000000"/>
          <w:kern w:val="0"/>
          <w:sz w:val="24"/>
        </w:rPr>
        <w:t/>
      </w:r>
      <w:r w:rsidRPr="008A409E">
        <w:rPr>
          <w:rFonts w:asciiTheme="minorEastAsia" w:eastAsiaTheme="minorEastAsia" w:hAnsiTheme="minorEastAsia" w:hint="eastAsia"/>
          <w:b/>
          <w:bCs/>
          <w:color w:themeColor="text1" w:val="000000"/>
          <w:kern w:val="0"/>
          <w:sz w:val="24"/>
        </w:rPr>
        <w:t>5.2.2报告期末按行业分类的</w:t>
      </w:r>
      <w:r w:rsidR="00EE49FE">
        <w:rPr>
          <w:rFonts w:asciiTheme="minorEastAsia" w:eastAsiaTheme="minorEastAsia" w:hAnsiTheme="minorEastAsia" w:hint="eastAsia"/>
          <w:b/>
          <w:bCs/>
          <w:color w:themeColor="text1" w:val="000000"/>
          <w:kern w:val="0"/>
          <w:sz w:val="24"/>
        </w:rPr>
        <w:t>港股通</w:t>
      </w:r>
      <w:r w:rsidRPr="008A409E">
        <w:rPr>
          <w:rFonts w:asciiTheme="minorEastAsia" w:eastAsiaTheme="minorEastAsia" w:hAnsiTheme="minorEastAsia" w:hint="eastAsia"/>
          <w:b/>
          <w:bCs/>
          <w:color w:themeColor="text1" w:val="000000"/>
          <w:kern w:val="0"/>
          <w:sz w:val="24"/>
        </w:rPr>
        <w:t>投资股票投资组合</w:t>
      </w:r>
    </w:p>
    <w:p w:rsidP="00F51C4E" w:rsidR="00F51C4E" w:rsidRDefault="00F51C4E">
      <w:pPr>
        <w:spacing w:before="29" w:line="360" w:lineRule="auto"/>
        <w:ind w:left="17"/>
        <w:rPr>
          <w:color w:val="000000"/>
          <w:sz w:val="24"/>
        </w:rPr>
      </w:pPr>
      <w:r w:rsidRPr="00FF0BBF">
        <w:rPr>
          <w:color w:val="000000"/>
          <w:sz w:val="24"/>
        </w:rPr>
        <w:t>本基金本报告期末未持有通过港股通投资的股票。</w:t>
      </w:r>
    </w:p>
    <w:p w:rsidP="00C15CAC" w:rsidR="004061AC" w:rsidRDefault="004061AC" w:rsidRPr="00F51C4E">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type="dxa" w:w="8868"/>
        <w:jc w:val="center"/>
        <w:tblLayout w:type="fixed"/>
        <w:tblCellMar>
          <w:top w:type="dxa" w:w="57"/>
          <w:bottom w:type="dxa" w:w="57"/>
        </w:tblCellMar>
        <w:tblLook w:firstColumn="1" w:firstRow="1" w:lastColumn="0" w:lastRow="0" w:noHBand="0" w:noVBand="1" w:val="04A0"/>
      </w:tblPr>
      <w:tblGrid>
        <w:gridCol w:w="855"/>
        <w:gridCol w:w="1334"/>
        <w:gridCol w:w="1777"/>
        <w:gridCol w:w="1334"/>
        <w:gridCol w:w="1924"/>
        <w:gridCol w:w="1644"/>
      </w:tblGrid>
      <w:tr w:rsidR="00AC592E" w:rsidRPr="00414345" w:rsidTr="00A324F4">
        <w:trPr>
          <w:jc w:val="center"/>
        </w:trPr>
        <w:tc>
          <w:tcPr>
            <w:tcW w:type="dxa" w:w="869"/>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序号</w:t>
            </w:r>
          </w:p>
        </w:tc>
        <w:tc>
          <w:tcPr>
            <w:tcW w:type="dxa" w:w="1357"/>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股票代码</w:t>
            </w:r>
          </w:p>
        </w:tc>
        <w:tc>
          <w:tcPr>
            <w:tcW w:type="dxa" w:w="1810"/>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股票名称</w:t>
            </w:r>
          </w:p>
        </w:tc>
        <w:tc>
          <w:tcPr>
            <w:tcW w:type="dxa" w:w="1357"/>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type="dxa" w:w="1960"/>
            <w:vAlign w:val="center"/>
          </w:tcPr>
          <w:p w:rsidP="00C15CAC" w:rsidR="00853140" w:rsidRDefault="00853140"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type="dxa" w:w="1674"/>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tc>
          <w:tcPr>
            <w:vAlign w:val="center"/>
          </w:tcPr>
          <w:p>
            <w:pPr>
              <w:jc w:val="center"/>
            </w:pPr>
            <w:r>
              <w:rPr>
                <w:color w:val="000000"/>
                <w:sz w:val="24"/>
                <w:szCs w:val="24"/>
              </w:rPr>
              <w:t>1</w:t>
            </w:r>
          </w:p>
        </w:tc>
        <w:tc>
          <w:tcPr>
            <w:vAlign w:val="center"/>
          </w:tcPr>
          <w:p>
            <w:pPr>
              <w:jc w:val="center"/>
            </w:pPr>
            <w:r>
              <w:rPr>
                <w:color w:val="000000"/>
                <w:sz w:val="24"/>
                <w:szCs w:val="24"/>
              </w:rPr>
              <w:t>002607</w:t>
            </w:r>
          </w:p>
        </w:tc>
        <w:tc>
          <w:tcPr>
            <w:vAlign w:val="center"/>
          </w:tcPr>
          <w:p>
            <w:pPr>
              <w:jc w:val="center"/>
            </w:pPr>
            <w:r>
              <w:rPr>
                <w:color w:val="000000"/>
                <w:sz w:val="24"/>
                <w:szCs w:val="24"/>
              </w:rPr>
              <w:t>中公教育</w:t>
            </w:r>
          </w:p>
        </w:tc>
        <w:tc>
          <w:tcPr>
            <w:vAlign w:val="center"/>
          </w:tcPr>
          <w:p>
            <w:pPr>
              <w:jc w:val="right"/>
            </w:pPr>
            <w:r>
              <w:rPr>
                <w:color w:val="000000"/>
                <w:sz w:val="24"/>
                <w:szCs w:val="24"/>
              </w:rPr>
              <w:t>7,904,195</w:t>
            </w:r>
          </w:p>
        </w:tc>
        <w:tc>
          <w:tcPr>
            <w:vAlign w:val="center"/>
          </w:tcPr>
          <w:p>
            <w:pPr>
              <w:jc w:val="right"/>
            </w:pPr>
            <w:r>
              <w:rPr>
                <w:color w:val="000000"/>
                <w:sz w:val="24"/>
                <w:szCs w:val="24"/>
              </w:rPr>
              <w:t>128,601,252.65</w:t>
            </w:r>
          </w:p>
        </w:tc>
        <w:tc>
          <w:tcPr>
            <w:vAlign w:val="center"/>
          </w:tcPr>
          <w:p>
            <w:pPr>
              <w:jc w:val="right"/>
            </w:pPr>
            <w:r>
              <w:rPr>
                <w:color w:val="000000"/>
                <w:sz w:val="24"/>
                <w:szCs w:val="24"/>
              </w:rPr>
              <w:t>7.73</w:t>
            </w:r>
          </w:p>
        </w:tc>
      </w:tr>
      <w:tr>
        <w:tc>
          <w:tcPr>
            <w:vAlign w:val="center"/>
          </w:tcPr>
          <w:p>
            <w:pPr>
              <w:jc w:val="center"/>
            </w:pPr>
            <w:r>
              <w:rPr>
                <w:color w:val="000000"/>
                <w:sz w:val="24"/>
                <w:szCs w:val="24"/>
              </w:rPr>
              <w:t>2</w:t>
            </w:r>
          </w:p>
        </w:tc>
        <w:tc>
          <w:tcPr>
            <w:vAlign w:val="center"/>
          </w:tcPr>
          <w:p>
            <w:pPr>
              <w:jc w:val="center"/>
            </w:pPr>
            <w:r>
              <w:rPr>
                <w:color w:val="000000"/>
                <w:sz w:val="24"/>
                <w:szCs w:val="24"/>
              </w:rPr>
              <w:t>300413</w:t>
            </w:r>
          </w:p>
        </w:tc>
        <w:tc>
          <w:tcPr>
            <w:vAlign w:val="center"/>
          </w:tcPr>
          <w:p>
            <w:pPr>
              <w:jc w:val="center"/>
            </w:pPr>
            <w:r>
              <w:rPr>
                <w:color w:val="000000"/>
                <w:sz w:val="24"/>
                <w:szCs w:val="24"/>
              </w:rPr>
              <w:t>芒果超媒</w:t>
            </w:r>
          </w:p>
        </w:tc>
        <w:tc>
          <w:tcPr>
            <w:vAlign w:val="center"/>
          </w:tcPr>
          <w:p>
            <w:pPr>
              <w:jc w:val="right"/>
            </w:pPr>
            <w:r>
              <w:rPr>
                <w:color w:val="000000"/>
                <w:sz w:val="24"/>
                <w:szCs w:val="24"/>
              </w:rPr>
              <w:t>2,696,747</w:t>
            </w:r>
          </w:p>
        </w:tc>
        <w:tc>
          <w:tcPr>
            <w:vAlign w:val="center"/>
          </w:tcPr>
          <w:p>
            <w:pPr>
              <w:jc w:val="right"/>
            </w:pPr>
            <w:r>
              <w:rPr>
                <w:color w:val="000000"/>
                <w:sz w:val="24"/>
                <w:szCs w:val="24"/>
              </w:rPr>
              <w:t>123,403,142.72</w:t>
            </w:r>
          </w:p>
        </w:tc>
        <w:tc>
          <w:tcPr>
            <w:vAlign w:val="center"/>
          </w:tcPr>
          <w:p>
            <w:pPr>
              <w:jc w:val="right"/>
            </w:pPr>
            <w:r>
              <w:rPr>
                <w:color w:val="000000"/>
                <w:sz w:val="24"/>
                <w:szCs w:val="24"/>
              </w:rPr>
              <w:t>7.42</w:t>
            </w:r>
          </w:p>
        </w:tc>
      </w:tr>
      <w:tr>
        <w:tc>
          <w:tcPr>
            <w:vAlign w:val="center"/>
          </w:tcPr>
          <w:p>
            <w:pPr>
              <w:jc w:val="center"/>
            </w:pPr>
            <w:r>
              <w:rPr>
                <w:color w:val="000000"/>
                <w:sz w:val="24"/>
                <w:szCs w:val="24"/>
              </w:rPr>
              <w:t>3</w:t>
            </w:r>
          </w:p>
        </w:tc>
        <w:tc>
          <w:tcPr>
            <w:vAlign w:val="center"/>
          </w:tcPr>
          <w:p>
            <w:pPr>
              <w:jc w:val="center"/>
            </w:pPr>
            <w:r>
              <w:rPr>
                <w:color w:val="000000"/>
                <w:sz w:val="24"/>
                <w:szCs w:val="24"/>
              </w:rPr>
              <w:t>002555</w:t>
            </w:r>
          </w:p>
        </w:tc>
        <w:tc>
          <w:tcPr>
            <w:vAlign w:val="center"/>
          </w:tcPr>
          <w:p>
            <w:pPr>
              <w:jc w:val="center"/>
            </w:pPr>
            <w:r>
              <w:rPr>
                <w:color w:val="000000"/>
                <w:sz w:val="24"/>
                <w:szCs w:val="24"/>
              </w:rPr>
              <w:t>三七互娱</w:t>
            </w:r>
          </w:p>
        </w:tc>
        <w:tc>
          <w:tcPr>
            <w:vAlign w:val="center"/>
          </w:tcPr>
          <w:p>
            <w:pPr>
              <w:jc w:val="right"/>
            </w:pPr>
            <w:r>
              <w:rPr>
                <w:color w:val="000000"/>
                <w:sz w:val="24"/>
                <w:szCs w:val="24"/>
              </w:rPr>
              <w:t>5,626,796</w:t>
            </w:r>
          </w:p>
        </w:tc>
        <w:tc>
          <w:tcPr>
            <w:vAlign w:val="center"/>
          </w:tcPr>
          <w:p>
            <w:pPr>
              <w:jc w:val="right"/>
            </w:pPr>
            <w:r>
              <w:rPr>
                <w:color w:val="000000"/>
                <w:sz w:val="24"/>
                <w:szCs w:val="24"/>
              </w:rPr>
              <w:t>100,193,131.88</w:t>
            </w:r>
          </w:p>
        </w:tc>
        <w:tc>
          <w:tcPr>
            <w:vAlign w:val="center"/>
          </w:tcPr>
          <w:p>
            <w:pPr>
              <w:jc w:val="right"/>
            </w:pPr>
            <w:r>
              <w:rPr>
                <w:color w:val="000000"/>
                <w:sz w:val="24"/>
                <w:szCs w:val="24"/>
              </w:rPr>
              <w:t>6.03</w:t>
            </w:r>
          </w:p>
        </w:tc>
      </w:tr>
      <w:tr>
        <w:tc>
          <w:tcPr>
            <w:vAlign w:val="center"/>
          </w:tcPr>
          <w:p>
            <w:pPr>
              <w:jc w:val="center"/>
            </w:pPr>
            <w:r>
              <w:rPr>
                <w:color w:val="000000"/>
                <w:sz w:val="24"/>
                <w:szCs w:val="24"/>
              </w:rPr>
              <w:t>4</w:t>
            </w:r>
          </w:p>
        </w:tc>
        <w:tc>
          <w:tcPr>
            <w:vAlign w:val="center"/>
          </w:tcPr>
          <w:p>
            <w:pPr>
              <w:jc w:val="center"/>
            </w:pPr>
            <w:r>
              <w:rPr>
                <w:color w:val="000000"/>
                <w:sz w:val="24"/>
                <w:szCs w:val="24"/>
              </w:rPr>
              <w:t>300012</w:t>
            </w:r>
          </w:p>
        </w:tc>
        <w:tc>
          <w:tcPr>
            <w:vAlign w:val="center"/>
          </w:tcPr>
          <w:p>
            <w:pPr>
              <w:jc w:val="center"/>
            </w:pPr>
            <w:r>
              <w:rPr>
                <w:color w:val="000000"/>
                <w:sz w:val="24"/>
                <w:szCs w:val="24"/>
              </w:rPr>
              <w:t>华测检测</w:t>
            </w:r>
          </w:p>
        </w:tc>
        <w:tc>
          <w:tcPr>
            <w:vAlign w:val="center"/>
          </w:tcPr>
          <w:p>
            <w:pPr>
              <w:jc w:val="right"/>
            </w:pPr>
            <w:r>
              <w:rPr>
                <w:color w:val="000000"/>
                <w:sz w:val="24"/>
                <w:szCs w:val="24"/>
              </w:rPr>
              <w:t>6,477,916</w:t>
            </w:r>
          </w:p>
        </w:tc>
        <w:tc>
          <w:tcPr>
            <w:vAlign w:val="center"/>
          </w:tcPr>
          <w:p>
            <w:pPr>
              <w:jc w:val="right"/>
            </w:pPr>
            <w:r>
              <w:rPr>
                <w:color w:val="000000"/>
                <w:sz w:val="24"/>
                <w:szCs w:val="24"/>
              </w:rPr>
              <w:t>81,751,299.92</w:t>
            </w:r>
          </w:p>
        </w:tc>
        <w:tc>
          <w:tcPr>
            <w:vAlign w:val="center"/>
          </w:tcPr>
          <w:p>
            <w:pPr>
              <w:jc w:val="right"/>
            </w:pPr>
            <w:r>
              <w:rPr>
                <w:color w:val="000000"/>
                <w:sz w:val="24"/>
                <w:szCs w:val="24"/>
              </w:rPr>
              <w:t>4.92</w:t>
            </w:r>
          </w:p>
        </w:tc>
      </w:tr>
      <w:tr>
        <w:tc>
          <w:tcPr>
            <w:vAlign w:val="center"/>
          </w:tcPr>
          <w:p>
            <w:pPr>
              <w:jc w:val="center"/>
            </w:pPr>
            <w:r>
              <w:rPr>
                <w:color w:val="000000"/>
                <w:sz w:val="24"/>
                <w:szCs w:val="24"/>
              </w:rPr>
              <w:t>5</w:t>
            </w:r>
          </w:p>
        </w:tc>
        <w:tc>
          <w:tcPr>
            <w:vAlign w:val="center"/>
          </w:tcPr>
          <w:p>
            <w:pPr>
              <w:jc w:val="center"/>
            </w:pPr>
            <w:r>
              <w:rPr>
                <w:color w:val="000000"/>
                <w:sz w:val="24"/>
                <w:szCs w:val="24"/>
              </w:rPr>
              <w:t>300207</w:t>
            </w:r>
          </w:p>
        </w:tc>
        <w:tc>
          <w:tcPr>
            <w:vAlign w:val="center"/>
          </w:tcPr>
          <w:p>
            <w:pPr>
              <w:jc w:val="center"/>
            </w:pPr>
            <w:r>
              <w:rPr>
                <w:color w:val="000000"/>
                <w:sz w:val="24"/>
                <w:szCs w:val="24"/>
              </w:rPr>
              <w:t>欣旺达</w:t>
            </w:r>
          </w:p>
        </w:tc>
        <w:tc>
          <w:tcPr>
            <w:vAlign w:val="center"/>
          </w:tcPr>
          <w:p>
            <w:pPr>
              <w:jc w:val="right"/>
            </w:pPr>
            <w:r>
              <w:rPr>
                <w:color w:val="000000"/>
                <w:sz w:val="24"/>
                <w:szCs w:val="24"/>
              </w:rPr>
              <w:t>4,265,907</w:t>
            </w:r>
          </w:p>
        </w:tc>
        <w:tc>
          <w:tcPr>
            <w:vAlign w:val="center"/>
          </w:tcPr>
          <w:p>
            <w:pPr>
              <w:jc w:val="right"/>
            </w:pPr>
            <w:r>
              <w:rPr>
                <w:color w:val="000000"/>
                <w:sz w:val="24"/>
                <w:szCs w:val="24"/>
              </w:rPr>
              <w:t>64,628,491.05</w:t>
            </w:r>
          </w:p>
        </w:tc>
        <w:tc>
          <w:tcPr>
            <w:vAlign w:val="center"/>
          </w:tcPr>
          <w:p>
            <w:pPr>
              <w:jc w:val="right"/>
            </w:pPr>
            <w:r>
              <w:rPr>
                <w:color w:val="000000"/>
                <w:sz w:val="24"/>
                <w:szCs w:val="24"/>
              </w:rPr>
              <w:t>3.89</w:t>
            </w:r>
          </w:p>
        </w:tc>
      </w:tr>
      <w:tr>
        <w:tc>
          <w:tcPr>
            <w:vAlign w:val="center"/>
          </w:tcPr>
          <w:p>
            <w:pPr>
              <w:jc w:val="center"/>
            </w:pPr>
            <w:r>
              <w:rPr>
                <w:color w:val="000000"/>
                <w:sz w:val="24"/>
                <w:szCs w:val="24"/>
              </w:rPr>
              <w:t>6</w:t>
            </w:r>
          </w:p>
        </w:tc>
        <w:tc>
          <w:tcPr>
            <w:vAlign w:val="center"/>
          </w:tcPr>
          <w:p>
            <w:pPr>
              <w:jc w:val="center"/>
            </w:pPr>
            <w:r>
              <w:rPr>
                <w:color w:val="000000"/>
                <w:sz w:val="24"/>
                <w:szCs w:val="24"/>
              </w:rPr>
              <w:t>300188</w:t>
            </w:r>
          </w:p>
        </w:tc>
        <w:tc>
          <w:tcPr>
            <w:vAlign w:val="center"/>
          </w:tcPr>
          <w:p>
            <w:pPr>
              <w:jc w:val="center"/>
            </w:pPr>
            <w:r>
              <w:rPr>
                <w:color w:val="000000"/>
                <w:sz w:val="24"/>
                <w:szCs w:val="24"/>
              </w:rPr>
              <w:t>美亚柏科</w:t>
            </w:r>
          </w:p>
        </w:tc>
        <w:tc>
          <w:tcPr>
            <w:vAlign w:val="center"/>
          </w:tcPr>
          <w:p>
            <w:pPr>
              <w:jc w:val="right"/>
            </w:pPr>
            <w:r>
              <w:rPr>
                <w:color w:val="000000"/>
                <w:sz w:val="24"/>
                <w:szCs w:val="24"/>
              </w:rPr>
              <w:t>3,716,660</w:t>
            </w:r>
          </w:p>
        </w:tc>
        <w:tc>
          <w:tcPr>
            <w:vAlign w:val="center"/>
          </w:tcPr>
          <w:p>
            <w:pPr>
              <w:jc w:val="right"/>
            </w:pPr>
            <w:r>
              <w:rPr>
                <w:color w:val="000000"/>
                <w:sz w:val="24"/>
                <w:szCs w:val="24"/>
              </w:rPr>
              <w:t>63,703,552.40</w:t>
            </w:r>
          </w:p>
        </w:tc>
        <w:tc>
          <w:tcPr>
            <w:vAlign w:val="center"/>
          </w:tcPr>
          <w:p>
            <w:pPr>
              <w:jc w:val="right"/>
            </w:pPr>
            <w:r>
              <w:rPr>
                <w:color w:val="000000"/>
                <w:sz w:val="24"/>
                <w:szCs w:val="24"/>
              </w:rPr>
              <w:t>3.83</w:t>
            </w:r>
          </w:p>
        </w:tc>
      </w:tr>
      <w:tr>
        <w:tc>
          <w:tcPr>
            <w:vAlign w:val="center"/>
          </w:tcPr>
          <w:p>
            <w:pPr>
              <w:jc w:val="center"/>
            </w:pPr>
            <w:r>
              <w:rPr>
                <w:color w:val="000000"/>
                <w:sz w:val="24"/>
                <w:szCs w:val="24"/>
              </w:rPr>
              <w:t>7</w:t>
            </w:r>
          </w:p>
        </w:tc>
        <w:tc>
          <w:tcPr>
            <w:vAlign w:val="center"/>
          </w:tcPr>
          <w:p>
            <w:pPr>
              <w:jc w:val="center"/>
            </w:pPr>
            <w:r>
              <w:rPr>
                <w:color w:val="000000"/>
                <w:sz w:val="24"/>
                <w:szCs w:val="24"/>
              </w:rPr>
              <w:t>002410</w:t>
            </w:r>
          </w:p>
        </w:tc>
        <w:tc>
          <w:tcPr>
            <w:vAlign w:val="center"/>
          </w:tcPr>
          <w:p>
            <w:pPr>
              <w:jc w:val="center"/>
            </w:pPr>
            <w:r>
              <w:rPr>
                <w:color w:val="000000"/>
                <w:sz w:val="24"/>
                <w:szCs w:val="24"/>
              </w:rPr>
              <w:t>广联达</w:t>
            </w:r>
          </w:p>
        </w:tc>
        <w:tc>
          <w:tcPr>
            <w:vAlign w:val="center"/>
          </w:tcPr>
          <w:p>
            <w:pPr>
              <w:jc w:val="right"/>
            </w:pPr>
            <w:r>
              <w:rPr>
                <w:color w:val="000000"/>
                <w:sz w:val="24"/>
                <w:szCs w:val="24"/>
              </w:rPr>
              <w:t>1,594,659</w:t>
            </w:r>
          </w:p>
        </w:tc>
        <w:tc>
          <w:tcPr>
            <w:vAlign w:val="center"/>
          </w:tcPr>
          <w:p>
            <w:pPr>
              <w:jc w:val="right"/>
            </w:pPr>
            <w:r>
              <w:rPr>
                <w:color w:val="000000"/>
                <w:sz w:val="24"/>
                <w:szCs w:val="24"/>
              </w:rPr>
              <w:t>56,594,447.91</w:t>
            </w:r>
          </w:p>
        </w:tc>
        <w:tc>
          <w:tcPr>
            <w:vAlign w:val="center"/>
          </w:tcPr>
          <w:p>
            <w:pPr>
              <w:jc w:val="right"/>
            </w:pPr>
            <w:r>
              <w:rPr>
                <w:color w:val="000000"/>
                <w:sz w:val="24"/>
                <w:szCs w:val="24"/>
              </w:rPr>
              <w:t>3.40</w:t>
            </w:r>
          </w:p>
        </w:tc>
      </w:tr>
      <w:tr>
        <w:tc>
          <w:tcPr>
            <w:vAlign w:val="center"/>
          </w:tcPr>
          <w:p>
            <w:pPr>
              <w:jc w:val="center"/>
            </w:pPr>
            <w:r>
              <w:rPr>
                <w:color w:val="000000"/>
                <w:sz w:val="24"/>
                <w:szCs w:val="24"/>
              </w:rPr>
              <w:t>8</w:t>
            </w:r>
          </w:p>
        </w:tc>
        <w:tc>
          <w:tcPr>
            <w:vAlign w:val="center"/>
          </w:tcPr>
          <w:p>
            <w:pPr>
              <w:jc w:val="center"/>
            </w:pPr>
            <w:r>
              <w:rPr>
                <w:color w:val="000000"/>
                <w:sz w:val="24"/>
                <w:szCs w:val="24"/>
              </w:rPr>
              <w:t>603160</w:t>
            </w:r>
          </w:p>
        </w:tc>
        <w:tc>
          <w:tcPr>
            <w:vAlign w:val="center"/>
          </w:tcPr>
          <w:p>
            <w:pPr>
              <w:jc w:val="center"/>
            </w:pPr>
            <w:r>
              <w:rPr>
                <w:color w:val="000000"/>
                <w:sz w:val="24"/>
                <w:szCs w:val="24"/>
              </w:rPr>
              <w:t>汇顶科技</w:t>
            </w:r>
          </w:p>
        </w:tc>
        <w:tc>
          <w:tcPr>
            <w:vAlign w:val="center"/>
          </w:tcPr>
          <w:p>
            <w:pPr>
              <w:jc w:val="right"/>
            </w:pPr>
            <w:r>
              <w:rPr>
                <w:color w:val="000000"/>
                <w:sz w:val="24"/>
                <w:szCs w:val="24"/>
              </w:rPr>
              <w:t>249,000</w:t>
            </w:r>
          </w:p>
        </w:tc>
        <w:tc>
          <w:tcPr>
            <w:vAlign w:val="center"/>
          </w:tcPr>
          <w:p>
            <w:pPr>
              <w:jc w:val="right"/>
            </w:pPr>
            <w:r>
              <w:rPr>
                <w:color w:val="000000"/>
                <w:sz w:val="24"/>
                <w:szCs w:val="24"/>
              </w:rPr>
              <w:t>50,646,600.00</w:t>
            </w:r>
          </w:p>
        </w:tc>
        <w:tc>
          <w:tcPr>
            <w:vAlign w:val="center"/>
          </w:tcPr>
          <w:p>
            <w:pPr>
              <w:jc w:val="right"/>
            </w:pPr>
            <w:r>
              <w:rPr>
                <w:color w:val="000000"/>
                <w:sz w:val="24"/>
                <w:szCs w:val="24"/>
              </w:rPr>
              <w:t>3.05</w:t>
            </w:r>
          </w:p>
        </w:tc>
      </w:tr>
      <w:tr>
        <w:tc>
          <w:tcPr>
            <w:vAlign w:val="center"/>
          </w:tcPr>
          <w:p>
            <w:pPr>
              <w:jc w:val="center"/>
            </w:pPr>
            <w:r>
              <w:rPr>
                <w:color w:val="000000"/>
                <w:sz w:val="24"/>
                <w:szCs w:val="24"/>
              </w:rPr>
              <w:t>9</w:t>
            </w:r>
          </w:p>
        </w:tc>
        <w:tc>
          <w:tcPr>
            <w:vAlign w:val="center"/>
          </w:tcPr>
          <w:p>
            <w:pPr>
              <w:jc w:val="center"/>
            </w:pPr>
            <w:r>
              <w:rPr>
                <w:color w:val="000000"/>
                <w:sz w:val="24"/>
                <w:szCs w:val="24"/>
              </w:rPr>
              <w:t>603039</w:t>
            </w:r>
          </w:p>
        </w:tc>
        <w:tc>
          <w:tcPr>
            <w:vAlign w:val="center"/>
          </w:tcPr>
          <w:p>
            <w:pPr>
              <w:jc w:val="center"/>
            </w:pPr>
            <w:r>
              <w:rPr>
                <w:color w:val="000000"/>
                <w:sz w:val="24"/>
                <w:szCs w:val="24"/>
              </w:rPr>
              <w:t>泛微网络</w:t>
            </w:r>
          </w:p>
        </w:tc>
        <w:tc>
          <w:tcPr>
            <w:vAlign w:val="center"/>
          </w:tcPr>
          <w:p>
            <w:pPr>
              <w:jc w:val="right"/>
            </w:pPr>
            <w:r>
              <w:rPr>
                <w:color w:val="000000"/>
                <w:sz w:val="24"/>
                <w:szCs w:val="24"/>
              </w:rPr>
              <w:t>730,990</w:t>
            </w:r>
          </w:p>
        </w:tc>
        <w:tc>
          <w:tcPr>
            <w:vAlign w:val="center"/>
          </w:tcPr>
          <w:p>
            <w:pPr>
              <w:jc w:val="right"/>
            </w:pPr>
            <w:r>
              <w:rPr>
                <w:color w:val="000000"/>
                <w:sz w:val="24"/>
                <w:szCs w:val="24"/>
              </w:rPr>
              <w:t>46,410,555.10</w:t>
            </w:r>
          </w:p>
        </w:tc>
        <w:tc>
          <w:tcPr>
            <w:vAlign w:val="center"/>
          </w:tcPr>
          <w:p>
            <w:pPr>
              <w:jc w:val="right"/>
            </w:pPr>
            <w:r>
              <w:rPr>
                <w:color w:val="000000"/>
                <w:sz w:val="24"/>
                <w:szCs w:val="24"/>
              </w:rPr>
              <w:t>2.79</w:t>
            </w:r>
          </w:p>
        </w:tc>
      </w:tr>
      <w:tr>
        <w:tc>
          <w:tcPr>
            <w:vAlign w:val="center"/>
          </w:tcPr>
          <w:p>
            <w:pPr>
              <w:jc w:val="center"/>
            </w:pPr>
            <w:r>
              <w:rPr>
                <w:color w:val="000000"/>
                <w:sz w:val="24"/>
                <w:szCs w:val="24"/>
              </w:rPr>
              <w:t>10</w:t>
            </w:r>
          </w:p>
        </w:tc>
        <w:tc>
          <w:tcPr>
            <w:vAlign w:val="center"/>
          </w:tcPr>
          <w:p>
            <w:pPr>
              <w:jc w:val="center"/>
            </w:pPr>
            <w:r>
              <w:rPr>
                <w:color w:val="000000"/>
                <w:sz w:val="24"/>
                <w:szCs w:val="24"/>
              </w:rPr>
              <w:t>002271</w:t>
            </w:r>
          </w:p>
        </w:tc>
        <w:tc>
          <w:tcPr>
            <w:vAlign w:val="center"/>
          </w:tcPr>
          <w:p>
            <w:pPr>
              <w:jc w:val="center"/>
            </w:pPr>
            <w:r>
              <w:rPr>
                <w:color w:val="000000"/>
                <w:sz w:val="24"/>
                <w:szCs w:val="24"/>
              </w:rPr>
              <w:t>东方雨虹</w:t>
            </w:r>
          </w:p>
        </w:tc>
        <w:tc>
          <w:tcPr>
            <w:vAlign w:val="center"/>
          </w:tcPr>
          <w:p>
            <w:pPr>
              <w:jc w:val="right"/>
            </w:pPr>
            <w:r>
              <w:rPr>
                <w:color w:val="000000"/>
                <w:sz w:val="24"/>
                <w:szCs w:val="24"/>
              </w:rPr>
              <w:t>2,119,956</w:t>
            </w:r>
          </w:p>
        </w:tc>
        <w:tc>
          <w:tcPr>
            <w:vAlign w:val="center"/>
          </w:tcPr>
          <w:p>
            <w:pPr>
              <w:jc w:val="right"/>
            </w:pPr>
            <w:r>
              <w:rPr>
                <w:color w:val="000000"/>
                <w:sz w:val="24"/>
                <w:szCs w:val="24"/>
              </w:rPr>
              <w:t>44,561,475.12</w:t>
            </w:r>
          </w:p>
        </w:tc>
        <w:tc>
          <w:tcPr>
            <w:vAlign w:val="center"/>
          </w:tcPr>
          <w:p>
            <w:pPr>
              <w:jc w:val="right"/>
            </w:pPr>
            <w:r>
              <w:rPr>
                <w:color w:val="000000"/>
                <w:sz w:val="24"/>
                <w:szCs w:val="24"/>
              </w:rPr>
              <w:t>2.68</w:t>
            </w:r>
          </w:p>
        </w:tc>
      </w:tr>
    </w:tbl>
    <w:p w:rsidP="00C15CAC" w:rsidR="004061AC" w:rsidRDefault="004061AC" w:rsidRPr="00414345">
      <w:pPr>
        <w:autoSpaceDE w:val="0"/>
        <w:autoSpaceDN w:val="0"/>
        <w:adjustRightInd w:val="0"/>
        <w:spacing w:before="29" w:line="288" w:lineRule="auto"/>
        <w:jc w:val="left"/>
        <w:rPr>
          <w:b/>
          <w:bCs/>
          <w:color w:val="000000"/>
          <w:kern w:val="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本基金本报告期末未持有债券。</w:t>
      </w: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本基金本报告期末未持有债券。</w:t>
      </w: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本基金本报告期末未持有资产支持证券。</w:t>
      </w:r>
    </w:p>
    <w:p w:rsidP="00C15CAC" w:rsidR="00A54C7D" w:rsidRDefault="00A54C7D" w:rsidRPr="00414345">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P="00C15CAC" w:rsidR="00632B0F" w:rsidRDefault="00632B0F" w:rsidRPr="00414345">
      <w:pPr>
        <w:widowControl/>
        <w:spacing w:line="288" w:lineRule="auto"/>
        <w:jc w:val="left"/>
        <w:rPr>
          <w:sz w:val="24"/>
          <w:szCs w:val="24"/>
        </w:rPr>
      </w:pPr>
      <w:r w:rsidRPr="00414345">
        <w:rPr>
          <w:sz w:val="24"/>
          <w:szCs w:val="24"/>
        </w:rPr>
        <w:t>本基金本报告期末未持有贵金属。</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A917BF"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336EAF" w:rsidRPr="00414345">
        <w:rPr>
          <w:b/>
          <w:bCs/>
          <w:color w:val="000000"/>
          <w:kern w:val="0"/>
          <w:sz w:val="24"/>
          <w:szCs w:val="24"/>
        </w:rPr>
        <w:t/>
      </w:r>
      <w:r w:rsidRPr="00414345">
        <w:rPr>
          <w:b/>
          <w:bCs/>
          <w:color w:val="000000"/>
          <w:kern w:val="0"/>
          <w:sz w:val="24"/>
          <w:szCs w:val="24"/>
        </w:rPr>
        <w:t>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w:r>
      <w:r w:rsidR="00315D5D" w:rsidRPr="00414345">
        <w:rPr>
          <w:color w:val="000000"/>
          <w:sz w:val="24"/>
          <w:szCs w:val="24"/>
        </w:rPr>
        <w:t/>
      </w:r>
      <w:r w:rsidR="004061AC" w:rsidRPr="00414345">
        <w:rPr>
          <w:color w:val="000000"/>
          <w:sz w:val="24"/>
          <w:szCs w:val="24"/>
        </w:rPr>
        <w:t>本基金本报告期末未持有权证。</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275745" w:rsidRDefault="00CD570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A83500" w:rsidRPr="00414345">
        <w:rPr>
          <w:b/>
          <w:bCs/>
          <w:color w:val="000000"/>
          <w:kern w:val="0"/>
          <w:sz w:val="24"/>
          <w:szCs w:val="24"/>
        </w:rPr>
        <w:t/>
      </w:r>
      <w:r w:rsidR="003259C8"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P="00C15CAC" w:rsidR="00275745" w:rsidRDefault="00AA3A38" w:rsidRPr="00414345">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P="00C15CAC" w:rsidR="00AA3A38" w:rsidRDefault="00AA3A38" w:rsidRPr="00414345">
      <w:pPr>
        <w:adjustRightInd w:val="0"/>
        <w:snapToGrid w:val="0"/>
        <w:spacing w:before="29" w:line="288" w:lineRule="auto"/>
        <w:rPr>
          <w:sz w:val="24"/>
          <w:szCs w:val="24"/>
        </w:rPr>
      </w:pPr>
    </w:p>
    <w:p w:rsidP="00C15CAC" w:rsidR="00A669FC" w:rsidRDefault="00312A9F"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P="00C15CAC" w:rsidR="00312A9F" w:rsidRDefault="00312A9F" w:rsidRPr="00414345">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P="00C15CAC" w:rsidR="00426096" w:rsidRDefault="00426096" w:rsidRPr="00414345">
      <w:pPr>
        <w:autoSpaceDE w:val="0"/>
        <w:autoSpaceDN w:val="0"/>
        <w:adjustRightInd w:val="0"/>
        <w:spacing w:before="29" w:line="288" w:lineRule="auto"/>
        <w:jc w:val="left"/>
        <w:rPr>
          <w:color w:val="000000"/>
          <w:sz w:val="24"/>
          <w:szCs w:val="24"/>
        </w:rPr>
      </w:pPr>
    </w:p>
    <w:p w:rsidP="00C15CAC" w:rsidR="004061AC" w:rsidRDefault="003259C8"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P="00E40D31" w:rsidR="00BE5388" w:rsidRDefault="00BE5388" w:rsidRPr="00BE5388">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5.11.1报告期内本基金投资的前十名证券的发行主体未被监管部门立案调查，在本报告编制日前一年内本基金投资的前十名证券的发行主体未受到公开谴责和处罚。</w:t>
      </w:r>
    </w:p>
    <w:p w:rsidP="00E40D31" w:rsidR="00BE5388" w:rsidRDefault="00BE5388" w:rsidRPr="00BE5388">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5.11.2本基金投资的前十名股票中，没有超出基金合同规定的备选股票库之外的股票。</w:t>
      </w:r>
    </w:p>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11.3</w:t>
      </w:r>
      <w:r w:rsidR="0035383E" w:rsidRPr="006B0D08">
        <w:rPr>
          <w:b/>
          <w:bCs/>
          <w:color w:val="000000"/>
          <w:kern w:val="0"/>
          <w:sz w:val="24"/>
          <w:szCs w:val="24"/>
        </w:rPr>
        <w:t>其他</w:t>
      </w:r>
      <w:r w:rsidR="004061AC" w:rsidRPr="006B0D08">
        <w:rPr>
          <w:b/>
          <w:bCs/>
          <w:color w:val="000000"/>
          <w:kern w:val="0"/>
          <w:sz w:val="24"/>
          <w:szCs w:val="24"/>
        </w:rPr>
        <w:t>资产构成</w:t>
      </w:r>
    </w:p>
    <w:p w:rsidP="00DD7A00" w:rsidR="00DD7A00" w:rsidRDefault="004A0AA9" w:rsidRPr="00414345">
      <w:pPr>
        <w:autoSpaceDE w:val="0"/>
        <w:autoSpaceDN w:val="0"/>
        <w:adjustRightInd w:val="0"/>
        <w:spacing w:before="29" w:line="288" w:lineRule="auto"/>
        <w:jc w:val="right"/>
        <w:rPr>
          <w:bCs/>
          <w:color w:val="000000"/>
          <w:kern w:val="0"/>
          <w:sz w:val="24"/>
          <w:szCs w:val="24"/>
        </w:rPr>
      </w:pPr>
      <w:r w:rsidRPr="004A0AA9">
        <w:rPr>
          <w:rFonts w:hint="eastAsia"/>
          <w:bCs/>
          <w:color w:val="000000"/>
          <w:kern w:val="0"/>
          <w:sz w:val="24"/>
          <w:szCs w:val="24"/>
        </w:rPr>
        <w:t/>
      </w:r>
      <w:r w:rsidRPr="004A0AA9">
        <w:rPr>
          <w:rFonts w:hint="eastAsia"/>
          <w:bCs/>
          <w:color w:val="000000"/>
          <w:kern w:val="0"/>
          <w:sz w:val="24"/>
          <w:szCs w:val="24"/>
        </w:rPr>
        <w:t>金额单位：人民币元</w:t>
      </w:r>
    </w:p>
    <w:tbl>
      <w:tblPr>
        <w:tblStyle w:val="af7"/>
        <w:tblpPr w:horzAnchor="margin" w:leftFromText="180" w:rightFromText="180" w:tblpXSpec="center" w:tblpY="265" w:vertAnchor="text"/>
        <w:tblW w:type="dxa" w:w="8868"/>
        <w:jc w:val="center"/>
        <w:tblLayout w:type="fixed"/>
        <w:tblCellMar>
          <w:top w:type="dxa" w:w="-1"/>
          <w:bottom w:type="dxa" w:w="-1"/>
        </w:tblCellMar>
        <w:tblLook w:firstColumn="1" w:firstRow="1" w:lastColumn="0" w:lastRow="0" w:noHBand="0" w:noVBand="1" w:val="04A0"/>
      </w:tblPr>
      <w:tblGrid>
        <w:gridCol w:w="1287"/>
        <w:gridCol w:w="2573"/>
        <w:gridCol w:w="5008"/>
      </w:tblGrid>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type="dxa" w:w="2470"/>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type="dxa" w:w="4808"/>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542,672.92</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lastRenderedPageBreak/>
              <w:t>2</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114,453.56</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11,184,693.05</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11,841,819.53</w:t>
            </w:r>
          </w:p>
        </w:tc>
      </w:tr>
    </w:tbl>
    <w:p w:rsidP="00C15CAC" w:rsidR="002918E3" w:rsidRDefault="002918E3" w:rsidRPr="00414345">
      <w:pPr>
        <w:autoSpaceDE w:val="0"/>
        <w:autoSpaceDN w:val="0"/>
        <w:adjustRightInd w:val="0"/>
        <w:spacing w:before="29" w:line="288" w:lineRule="auto"/>
        <w:rPr>
          <w:color w:val="000000"/>
          <w:sz w:val="24"/>
          <w:szCs w:val="24"/>
        </w:rPr>
      </w:pPr>
    </w:p>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11.4</w:t>
      </w:r>
      <w:r w:rsidR="004061AC" w:rsidRPr="006B0D08">
        <w:rPr>
          <w:b/>
          <w:bCs/>
          <w:color w:val="000000"/>
          <w:kern w:val="0"/>
          <w:sz w:val="24"/>
          <w:szCs w:val="24"/>
        </w:rPr>
        <w:t>报告期末持有的处于转股期的可转换债券明细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本基金本报告期末未持有处于转股期的可转换债券。</w:t>
      </w:r>
    </w:p>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11.5</w:t>
      </w:r>
      <w:r w:rsidR="004061AC" w:rsidRPr="006B0D08">
        <w:rPr>
          <w:b/>
          <w:bCs/>
          <w:color w:val="000000"/>
          <w:kern w:val="0"/>
          <w:sz w:val="24"/>
          <w:szCs w:val="24"/>
        </w:rPr>
        <w:t>报告期末前十名股票中存在流通受限情况的说明</w:t>
      </w:r>
    </w:p>
    <w:p w:rsidP="00066A97" w:rsidR="00066A97" w:rsidRDefault="00066A97" w:rsidRPr="00414345">
      <w:pPr>
        <w:autoSpaceDE w:val="0"/>
        <w:autoSpaceDN w:val="0"/>
        <w:adjustRightInd w:val="0"/>
        <w:spacing w:before="29" w:line="288" w:lineRule="auto"/>
        <w:jc w:val="right"/>
        <w:rPr>
          <w:bCs/>
          <w:color w:val="000000"/>
          <w:kern w:val="0"/>
          <w:sz w:val="24"/>
          <w:szCs w:val="24"/>
        </w:rPr>
      </w:pPr>
      <w:r w:rsidRPr="00173B44">
        <w:rPr>
          <w:rFonts w:hint="eastAsia"/>
          <w:bCs/>
          <w:color w:val="000000"/>
          <w:kern w:val="0"/>
          <w:sz w:val="24"/>
          <w:szCs w:val="24"/>
        </w:rPr>
        <w:t/>
      </w:r>
      <w:r w:rsidRPr="00173B44">
        <w:rPr>
          <w:rFonts w:hint="eastAsia"/>
          <w:bCs/>
          <w:color w:val="000000"/>
          <w:kern w:val="0"/>
          <w:sz w:val="24"/>
          <w:szCs w:val="24"/>
        </w:rPr>
        <w:t>金额单位：人民币元</w:t>
      </w:r>
    </w:p>
    <w:tbl>
      <w:tblPr>
        <w:tblStyle w:val="af7"/>
        <w:tblW w:type="dxa" w:w="8868"/>
        <w:jc w:val="center"/>
        <w:tblLayout w:type="fixed"/>
        <w:tblCellMar>
          <w:top w:type="dxa" w:w="57"/>
          <w:bottom w:type="dxa" w:w="57"/>
        </w:tblCellMar>
        <w:tblLook w:firstColumn="1" w:firstRow="1" w:lastColumn="0" w:lastRow="0" w:noHBand="0" w:noVBand="1" w:val="04A0"/>
      </w:tblPr>
      <w:tblGrid>
        <w:gridCol w:w="1129"/>
        <w:gridCol w:w="1356"/>
        <w:gridCol w:w="1355"/>
        <w:gridCol w:w="1880"/>
        <w:gridCol w:w="1724"/>
        <w:gridCol w:w="1424"/>
      </w:tblGrid>
      <w:tr w:rsidR="003E62FB" w:rsidRPr="00414345" w:rsidTr="00BC216C">
        <w:trPr>
          <w:jc w:val="center"/>
        </w:trPr>
        <w:tc>
          <w:tcPr>
            <w:tcW w:type="dxa" w:w="1083"/>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序号</w:t>
            </w:r>
          </w:p>
        </w:tc>
        <w:tc>
          <w:tcPr>
            <w:tcW w:type="dxa" w:w="1302"/>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股票代码</w:t>
            </w:r>
          </w:p>
        </w:tc>
        <w:tc>
          <w:tcPr>
            <w:tcW w:type="dxa" w:w="1301"/>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股票名称</w:t>
            </w:r>
          </w:p>
        </w:tc>
        <w:tc>
          <w:tcPr>
            <w:tcW w:type="dxa" w:w="1805"/>
            <w:vAlign w:val="center"/>
          </w:tcPr>
          <w:p w:rsidP="00C15CAC" w:rsidR="003E62FB" w:rsidRDefault="003E62FB" w:rsidRPr="005F1F22">
            <w:pPr>
              <w:spacing w:before="29" w:line="288" w:lineRule="auto"/>
              <w:ind w:left="17"/>
              <w:jc w:val="center"/>
              <w:rPr>
                <w:color w:val="000000"/>
                <w:sz w:val="24"/>
                <w:szCs w:val="24"/>
              </w:rPr>
            </w:pPr>
            <w:r w:rsidRPr="00414345">
              <w:rPr>
                <w:color w:val="000000"/>
                <w:sz w:val="24"/>
                <w:szCs w:val="24"/>
              </w:rPr>
              <w:t>流通受限部分的公允价值</w:t>
            </w:r>
          </w:p>
        </w:tc>
        <w:tc>
          <w:tcPr>
            <w:tcW w:type="dxa" w:w="1655"/>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占基金资产净值比例</w:t>
            </w:r>
            <w:r w:rsidR="005F1F22">
              <w:rPr>
                <w:color w:val="000000"/>
                <w:sz w:val="24"/>
                <w:szCs w:val="24"/>
              </w:rPr>
              <w:t>(%)</w:t>
            </w:r>
          </w:p>
        </w:tc>
        <w:tc>
          <w:tcPr>
            <w:tcW w:type="dxa" w:w="1367"/>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流通受限情况说明</w:t>
            </w:r>
          </w:p>
        </w:tc>
      </w:tr>
      <w:tr>
        <w:tc>
          <w:tcPr>
            <w:vAlign w:val="center"/>
          </w:tcPr>
          <w:p>
            <w:pPr>
              <w:jc w:val="center"/>
            </w:pPr>
            <w:r>
              <w:rPr>
                <w:color w:val="000000"/>
                <w:sz w:val="24"/>
                <w:szCs w:val="24"/>
              </w:rPr>
              <w:t>1</w:t>
            </w:r>
          </w:p>
        </w:tc>
        <w:tc>
          <w:tcPr>
            <w:vAlign w:val="center"/>
          </w:tcPr>
          <w:p>
            <w:pPr>
              <w:jc w:val="center"/>
            </w:pPr>
            <w:r>
              <w:rPr>
                <w:color w:val="000000"/>
                <w:sz w:val="24"/>
                <w:szCs w:val="24"/>
              </w:rPr>
              <w:t>002555</w:t>
            </w:r>
          </w:p>
        </w:tc>
        <w:tc>
          <w:tcPr>
            <w:vAlign w:val="center"/>
          </w:tcPr>
          <w:p>
            <w:pPr>
              <w:jc w:val="center"/>
            </w:pPr>
            <w:r>
              <w:rPr>
                <w:color w:val="000000"/>
                <w:sz w:val="24"/>
                <w:szCs w:val="24"/>
              </w:rPr>
              <w:t>三七互娱</w:t>
            </w:r>
          </w:p>
        </w:tc>
        <w:tc>
          <w:tcPr>
            <w:vAlign w:val="center"/>
          </w:tcPr>
          <w:p>
            <w:pPr>
              <w:jc w:val="right"/>
            </w:pPr>
            <w:r>
              <w:rPr>
                <w:color w:val="000000"/>
                <w:sz w:val="24"/>
                <w:szCs w:val="24"/>
              </w:rPr>
              <w:t>29,393,000.00</w:t>
            </w:r>
          </w:p>
        </w:tc>
        <w:tc>
          <w:tcPr>
            <w:vAlign w:val="center"/>
          </w:tcPr>
          <w:p>
            <w:pPr>
              <w:jc w:val="right"/>
            </w:pPr>
            <w:r>
              <w:rPr>
                <w:color w:val="000000"/>
                <w:sz w:val="24"/>
                <w:szCs w:val="24"/>
              </w:rPr>
              <w:t>1.77</w:t>
            </w:r>
          </w:p>
        </w:tc>
        <w:tc>
          <w:tcPr>
            <w:vAlign w:val="center"/>
          </w:tcPr>
          <w:p>
            <w:pPr>
              <w:jc w:val="right"/>
            </w:pPr>
            <w:r>
              <w:rPr>
                <w:color w:val="000000"/>
                <w:sz w:val="24"/>
                <w:szCs w:val="24"/>
              </w:rPr>
              <w:t>限售股</w:t>
            </w:r>
          </w:p>
        </w:tc>
      </w:tr>
    </w:tbl>
    <w:p w:rsidP="00C15CAC" w:rsidR="002918E3" w:rsidRDefault="002918E3" w:rsidRPr="00414345">
      <w:pPr>
        <w:autoSpaceDE w:val="0"/>
        <w:autoSpaceDN w:val="0"/>
        <w:adjustRightInd w:val="0"/>
        <w:spacing w:before="29" w:line="288" w:lineRule="auto"/>
        <w:rPr>
          <w:color w:val="000000"/>
          <w:sz w:val="24"/>
          <w:szCs w:val="24"/>
        </w:rPr>
      </w:pPr>
    </w:p>
    <w:p w:rsidP="00C15CAC" w:rsidR="004061AC" w:rsidRDefault="00D02347" w:rsidRPr="006B0D08">
      <w:pPr>
        <w:autoSpaceDE w:val="0"/>
        <w:autoSpaceDN w:val="0"/>
        <w:adjustRightInd w:val="0"/>
        <w:spacing w:before="29" w:line="288" w:lineRule="auto"/>
        <w:jc w:val="left"/>
        <w:rPr>
          <w:b/>
          <w:bCs/>
          <w:color w:val="000000"/>
          <w:kern w:val="0"/>
          <w:sz w:val="24"/>
          <w:szCs w:val="24"/>
        </w:rPr>
      </w:pPr>
      <w:bookmarkStart w:id="2" w:name="_GoBack"/>
      <w:r w:rsidRPr="006B0D08">
        <w:rPr>
          <w:b/>
          <w:bCs/>
          <w:color w:val="000000"/>
          <w:kern w:val="0"/>
          <w:sz w:val="24"/>
          <w:szCs w:val="24"/>
        </w:rPr>
        <w:t/>
      </w:r>
      <w:r w:rsidR="003259C8"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11.6</w:t>
      </w:r>
      <w:r w:rsidR="001675CD" w:rsidRPr="006B0D08">
        <w:rPr>
          <w:b/>
          <w:bCs/>
          <w:color w:val="000000"/>
          <w:kern w:val="0"/>
          <w:sz w:val="24"/>
          <w:szCs w:val="24"/>
        </w:rPr>
        <w:t>投资组合报告附注的其他文字描述部分</w:t>
      </w:r>
    </w:p>
    <w:bookmarkEnd w:id="2"/>
    <w:p w:rsidP="00E40D31" w:rsidR="006B2FF6" w:rsidRDefault="004061AC" w:rsidRPr="00414345">
      <w:pPr>
        <w:spacing w:before="29" w:line="288" w:lineRule="auto"/>
        <w:rPr>
          <w:color w:val="000000"/>
          <w:sz w:val="24"/>
          <w:szCs w:val="24"/>
        </w:rPr>
      </w:pPr>
      <w:r w:rsidRPr="00414345">
        <w:rPr>
          <w:color w:val="000000"/>
          <w:sz w:val="24"/>
          <w:szCs w:val="24"/>
        </w:rPr>
        <w:t/>
      </w:r>
      <w:r w:rsidR="001675CD" w:rsidRPr="00414345">
        <w:rPr>
          <w:color w:val="000000"/>
          <w:sz w:val="24"/>
          <w:szCs w:val="24"/>
        </w:rPr>
        <w:t/>
      </w:r>
      <w:r w:rsidRPr="00414345">
        <w:rPr>
          <w:color w:val="000000"/>
          <w:sz w:val="24"/>
          <w:szCs w:val="24"/>
        </w:rPr>
        <w:t>由于四舍五入的原因，分项之和与合计项之间可能存在尾差。</w:t>
      </w:r>
    </w:p>
    <w:p w:rsidP="00C15CAC" w:rsidR="006B2FF6" w:rsidRDefault="006B2FF6">
      <w:pPr>
        <w:spacing w:before="29" w:line="288" w:lineRule="auto"/>
        <w:ind w:firstLine="480" w:firstLineChars="200"/>
        <w:rPr>
          <w:color w:val="000000"/>
          <w:sz w:val="24"/>
          <w:szCs w:val="24"/>
        </w:rPr>
      </w:pPr>
    </w:p>
    <w:p w:rsidP="00C15CAC" w:rsidR="001F3E2A" w:rsidRDefault="001F3E2A">
      <w:pPr>
        <w:spacing w:before="29" w:line="288" w:lineRule="auto"/>
        <w:ind w:firstLine="480" w:firstLineChars="200"/>
        <w:rPr>
          <w:color w:val="000000"/>
          <w:sz w:val="24"/>
          <w:szCs w:val="24"/>
        </w:rPr>
      </w:pPr>
    </w:p>
    <w:p w:rsidP="00C15CAC" w:rsidR="001F3E2A" w:rsidRDefault="001F3E2A" w:rsidRPr="00414345">
      <w:pPr>
        <w:spacing w:before="29" w:line="288" w:lineRule="auto"/>
        <w:ind w:firstLine="480" w:firstLineChars="200"/>
        <w:rPr>
          <w:color w:val="000000"/>
          <w:sz w:val="24"/>
          <w:szCs w:val="24"/>
        </w:rPr>
      </w:pPr>
    </w:p>
    <w:p w:rsidP="0011537B" w:rsidR="004061AC" w:rsidRDefault="0072794E" w:rsidRPr="005A3D62">
      <w:pPr>
        <w:pStyle w:val="1"/>
        <w:spacing w:after="312" w:afterLines="100" w:before="312" w:beforeLines="100" w:line="360" w:lineRule="auto"/>
        <w:jc w:val="center"/>
        <w:rPr>
          <w:rFonts w:eastAsiaTheme="minorEastAsia"/>
          <w:color w:themeColor="text1" w:val="000000"/>
          <w:kern w:val="0"/>
          <w:sz w:val="24"/>
          <w:szCs w:val="24"/>
        </w:rPr>
      </w:pPr>
      <w:r w:rsidRPr="005A3D62">
        <w:rPr>
          <w:rFonts w:eastAsiaTheme="minorEastAsia"/>
          <w:color w:themeColor="text1" w:val="000000"/>
          <w:kern w:val="0"/>
          <w:sz w:val="24"/>
          <w:szCs w:val="24"/>
        </w:rPr>
        <w:t/>
      </w:r>
      <w:r w:rsidR="004061AC" w:rsidRPr="005A3D62">
        <w:rPr>
          <w:rFonts w:eastAsiaTheme="minorEastAsia"/>
          <w:color w:themeColor="text1" w:val="000000"/>
          <w:kern w:val="0"/>
          <w:sz w:val="24"/>
          <w:szCs w:val="24"/>
        </w:rPr>
        <w:t>§</w:t>
      </w:r>
      <w:r w:rsidRPr="005A3D62">
        <w:rPr>
          <w:rFonts w:eastAsiaTheme="minorEastAsia"/>
          <w:color w:themeColor="text1" w:val="000000"/>
          <w:kern w:val="0"/>
          <w:sz w:val="24"/>
          <w:szCs w:val="24"/>
        </w:rPr>
        <w:t>6</w:t>
      </w:r>
      <w:r w:rsidR="004061AC" w:rsidRPr="005A3D62">
        <w:rPr>
          <w:rFonts w:eastAsiaTheme="minorEastAsia"/>
          <w:color w:themeColor="text1" w:val="000000"/>
          <w:kern w:val="0"/>
          <w:sz w:val="24"/>
          <w:szCs w:val="24"/>
        </w:rPr>
        <w:t xml:space="preserve">  </w:t>
      </w:r>
      <w:r w:rsidR="004061AC" w:rsidRPr="005A3D62">
        <w:rPr>
          <w:rFonts w:eastAsiaTheme="minorEastAsia"/>
          <w:color w:themeColor="text1" w:val="000000"/>
          <w:kern w:val="0"/>
          <w:sz w:val="24"/>
          <w:szCs w:val="24"/>
        </w:rPr>
        <w:t>开放式基金份额变动</w:t>
      </w:r>
    </w:p>
    <w:p w:rsidP="00C15CAC" w:rsidR="004061AC" w:rsidRDefault="004061AC" w:rsidRPr="00414345">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type="dxa" w:w="8868"/>
        <w:jc w:val="center"/>
        <w:tblLayout w:type="fixed"/>
        <w:tblCellMar>
          <w:top w:type="dxa" w:w="-1"/>
          <w:bottom w:type="dxa" w:w="-1"/>
        </w:tblCellMar>
        <w:tblLook w:firstColumn="0" w:firstRow="0" w:lastColumn="0" w:lastRow="0" w:noHBand="0" w:noVBand="0" w:val="0000"/>
      </w:tblPr>
      <w:tblGrid>
        <w:gridCol w:w="4734"/>
        <w:gridCol w:w="4134"/>
      </w:tblGrid>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8F60F2"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
            </w:r>
            <w:r w:rsidR="006D7FF8" w:rsidRPr="00414345">
              <w:rPr>
                <w:color w:val="000000"/>
                <w:sz w:val="24"/>
                <w:szCs w:val="24"/>
              </w:rPr>
              <w:t/>
            </w:r>
            <w:r w:rsidR="00355364" w:rsidRPr="00414345">
              <w:rPr>
                <w:color w:val="000000"/>
                <w:sz w:val="24"/>
                <w:szCs w:val="24"/>
              </w:rPr>
              <w:t/>
            </w:r>
            <w:r w:rsidR="006D7FF8" w:rsidRPr="00414345">
              <w:rPr>
                <w:color w:val="000000"/>
                <w:sz w:val="24"/>
                <w:szCs w:val="24"/>
              </w:rPr>
              <w:t>511,134,592.80</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FE179F"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185,631,138.06</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207,042,556.49</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35076C" w:rsidR="004061AC" w:rsidRDefault="00FE179F"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6D7FF8" w:rsidRDefault="006D7FF8"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6D7FF8" w:rsidRDefault="006D7FF8"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
            </w:r>
            <w:r w:rsidR="00355364" w:rsidRPr="00414345">
              <w:rPr>
                <w:color w:val="000000"/>
                <w:sz w:val="24"/>
                <w:szCs w:val="24"/>
              </w:rPr>
              <w:t/>
            </w:r>
            <w:r w:rsidRPr="00414345">
              <w:rPr>
                <w:color w:val="000000"/>
                <w:sz w:val="24"/>
                <w:szCs w:val="24"/>
              </w:rPr>
              <w:t>489,723,174.37</w:t>
            </w:r>
          </w:p>
        </w:tc>
      </w:tr>
    </w:tbl>
    <w:p>
      <w:pPr>
        <w:autoSpaceDE w:val="0"/>
        <w:autoSpaceDN w:val="0"/>
        <w:adjustRightInd w:val="0"/>
        <w:spacing w:before="29" w:line="288" w:lineRule="auto"/>
        <w:jc w:val="left"/>
        <w:rPr>
          <w:color w:val="000000"/>
          <w:sz w:val="24"/>
          <w:szCs w:val="24"/>
        </w:rPr>
      </w:pPr>
      <w:r>
        <w:rPr>
          <w:color w:val="000000"/>
          <w:sz w:val="24"/>
          <w:szCs w:val="24"/>
        </w:rPr>
        <w:t xml:space="preserve">注：1、如果本报告期间发生转换入、红利再投业务，则总申购份额中包含该业务； </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xml:space="preserve">    2、如果本报告期间发生转换出业务，则总赎回份额中包含该业务。</w:t>
      </w:r>
    </w:p>
    <w:p w:rsidP="00C15CAC" w:rsidR="00320E90" w:rsidRDefault="00320E90">
      <w:pPr>
        <w:autoSpaceDE w:val="0"/>
        <w:autoSpaceDN w:val="0"/>
        <w:adjustRightInd w:val="0"/>
        <w:spacing w:before="29" w:line="288" w:lineRule="auto"/>
        <w:jc w:val="left"/>
        <w:rPr>
          <w:color w:val="000000"/>
          <w:sz w:val="24"/>
          <w:szCs w:val="24"/>
        </w:rPr>
      </w:pPr>
    </w:p>
    <w:p w:rsidP="0011537B" w:rsidR="00ED2620" w:rsidRDefault="00ED2620" w:rsidRPr="00ED2620">
      <w:pPr>
        <w:pStyle w:val="1"/>
        <w:tabs>
          <w:tab w:pos="4156" w:val="center"/>
          <w:tab w:pos="8312" w:val="right"/>
        </w:tabs>
        <w:spacing w:after="312" w:afterLines="100" w:before="312" w:beforeLines="100" w:line="288" w:lineRule="auto"/>
        <w:jc w:val="center"/>
        <w:rPr>
          <w:sz w:val="24"/>
          <w:szCs w:val="24"/>
        </w:rPr>
      </w:pPr>
      <w:r w:rsidRPr="00ED2620">
        <w:rPr>
          <w:rFonts w:eastAsiaTheme="minorEastAsia"/>
          <w:color w:val="000000"/>
          <w:kern w:val="0"/>
          <w:sz w:val="24"/>
          <w:szCs w:val="24"/>
        </w:rPr>
        <w:t/>
      </w:r>
      <w:r w:rsidR="000A2FC0" w:rsidRPr="00414345">
        <w:rPr>
          <w:color w:val="000000"/>
          <w:kern w:val="0"/>
          <w:sz w:val="24"/>
          <w:szCs w:val="24"/>
        </w:rPr>
        <w:t>§</w:t>
      </w:r>
      <w:r w:rsidR="00406DA6">
        <w:rPr>
          <w:rFonts w:eastAsiaTheme="minorEastAsia"/>
          <w:color w:val="000000"/>
          <w:kern w:val="0"/>
          <w:sz w:val="24"/>
          <w:szCs w:val="24"/>
        </w:rPr>
        <w:t/>
      </w:r>
      <w:r w:rsidR="00406DA6">
        <w:rPr>
          <w:rFonts w:eastAsiaTheme="minorEastAsia" w:hint="eastAsia"/>
          <w:color w:val="000000"/>
          <w:kern w:val="0"/>
          <w:sz w:val="24"/>
          <w:szCs w:val="24"/>
        </w:rPr>
        <w:t/>
      </w:r>
      <w:r w:rsidRPr="00ED2620">
        <w:rPr>
          <w:rFonts w:eastAsiaTheme="minorEastAsia"/>
          <w:color w:val="000000"/>
          <w:kern w:val="0"/>
          <w:sz w:val="24"/>
          <w:szCs w:val="24"/>
        </w:rPr>
        <w:t xml:space="preserve">7  </w:t>
      </w:r>
      <w:r w:rsidRPr="00ED2620">
        <w:rPr>
          <w:sz w:val="24"/>
          <w:szCs w:val="24"/>
        </w:rPr>
        <w:t>基金管理人运用固有资金投资本基金情况</w:t>
      </w:r>
    </w:p>
    <w:p w:rsidP="00C15CAC" w:rsidR="00ED2620" w:rsidRDefault="00ED2620" w:rsidRPr="00ED2620">
      <w:pPr>
        <w:spacing w:line="288" w:lineRule="auto"/>
        <w:jc w:val="left"/>
        <w:rPr>
          <w:sz w:val="24"/>
          <w:szCs w:val="24"/>
        </w:rPr>
      </w:pPr>
      <w:r w:rsidRPr="00ED2620">
        <w:rPr>
          <w:b/>
          <w:sz w:val="24"/>
        </w:rPr>
        <w:t xml:space="preserve">7.1 </w:t>
      </w:r>
      <w:r w:rsidRPr="00ED2620">
        <w:rPr>
          <w:b/>
          <w:sz w:val="24"/>
        </w:rPr>
        <w:t>基金管理人持有本基金份额变动情况</w:t>
      </w:r>
    </w:p>
    <w:p w:rsidP="00C15CAC" w:rsidR="00410630" w:rsidRDefault="00ED2620">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
      </w:r>
      <w:r w:rsidR="006075E6">
        <w:rPr>
          <w:rFonts w:eastAsiaTheme="minorEastAsia" w:hint="eastAsia"/>
          <w:color w:val="000000"/>
          <w:sz w:val="24"/>
        </w:rPr>
        <w:t/>
      </w:r>
      <w:r w:rsidRPr="00ED2620">
        <w:rPr>
          <w:rFonts w:eastAsiaTheme="minorEastAsia"/>
          <w:color w:val="000000"/>
          <w:sz w:val="24"/>
        </w:rPr>
        <w:t>本报告期内未发生基金管理人运用固有资金投资本基金的情况。</w:t>
      </w:r>
    </w:p>
    <w:p w:rsidP="00C15CAC" w:rsidR="00410630" w:rsidRDefault="00410630">
      <w:pPr>
        <w:autoSpaceDE w:val="0"/>
        <w:autoSpaceDN w:val="0"/>
        <w:adjustRightInd w:val="0"/>
        <w:spacing w:before="29" w:line="288" w:lineRule="auto"/>
        <w:jc w:val="left"/>
        <w:rPr>
          <w:rFonts w:eastAsiaTheme="minorEastAsia"/>
          <w:color w:val="000000"/>
          <w:sz w:val="24"/>
        </w:rPr>
      </w:pPr>
    </w:p>
    <w:p w:rsidP="00BB5E0E" w:rsidR="00410630" w:rsidRDefault="00410630" w:rsidRPr="00BB5E0E">
      <w:pPr>
        <w:spacing w:line="288" w:lineRule="auto"/>
        <w:jc w:val="left"/>
        <w:rPr>
          <w:b/>
          <w:sz w:val="24"/>
        </w:rPr>
      </w:pPr>
      <w:r w:rsidRPr="00410630">
        <w:rPr>
          <w:b/>
          <w:sz w:val="24"/>
        </w:rPr>
        <w:t>7.2</w:t>
      </w:r>
      <w:r w:rsidRPr="00410630">
        <w:rPr>
          <w:rFonts w:hint="eastAsia"/>
          <w:b/>
          <w:sz w:val="24"/>
        </w:rPr>
        <w:t>基金管理人运用固有资金投资本基金交易明细</w:t>
      </w:r>
    </w:p>
    <w:p w:rsidP="00C15CAC" w:rsidR="00320300" w:rsidRDefault="00320300" w:rsidRPr="00414345">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P="00C15CAC" w:rsidR="00480B35" w:rsidRDefault="00480B35" w:rsidRPr="00414345">
      <w:pPr>
        <w:autoSpaceDE w:val="0"/>
        <w:autoSpaceDN w:val="0"/>
        <w:adjustRightInd w:val="0"/>
        <w:spacing w:before="29" w:line="288" w:lineRule="auto"/>
        <w:jc w:val="left"/>
        <w:rPr>
          <w:color w:val="000000"/>
          <w:sz w:val="24"/>
        </w:rPr>
      </w:pPr>
    </w:p>
    <w:p w:rsidP="0011537B" w:rsidR="00B22DEE" w:rsidRDefault="004061AC" w:rsidRPr="00E02660">
      <w:pPr>
        <w:pStyle w:val="1"/>
        <w:spacing w:after="312" w:afterLines="100" w:before="312" w:beforeLines="100"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
      </w:r>
      <w:r w:rsidR="00676095" w:rsidRPr="00414345">
        <w:rPr>
          <w:color w:val="000000"/>
          <w:kern w:val="0"/>
          <w:sz w:val="24"/>
          <w:szCs w:val="24"/>
        </w:rPr>
        <w:t/>
      </w:r>
      <w:r w:rsidR="00D02347" w:rsidRPr="00414345">
        <w:rPr>
          <w:color w:val="000000"/>
          <w:kern w:val="0"/>
          <w:sz w:val="24"/>
          <w:szCs w:val="24"/>
        </w:rPr>
        <w:t>8</w:t>
      </w:r>
      <w:r w:rsidR="00834E74">
        <w:rPr>
          <w:color w:val="000000"/>
          <w:kern w:val="0"/>
          <w:sz w:val="24"/>
          <w:szCs w:val="24"/>
        </w:rPr>
        <w:t xml:space="preserve">  </w:t>
      </w:r>
      <w:r w:rsidRPr="00414345">
        <w:rPr>
          <w:color w:val="000000"/>
          <w:kern w:val="0"/>
          <w:sz w:val="24"/>
          <w:szCs w:val="24"/>
        </w:rPr>
        <w:t>备查文件目录</w:t>
      </w: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pPr>
        <w:spacing w:before="29" w:line="288" w:lineRule="auto"/>
        <w:ind w:firstLine="480" w:firstLineChars="200"/>
        <w:rPr>
          <w:color w:val="000000"/>
          <w:sz w:val="24"/>
          <w:szCs w:val="24"/>
        </w:rPr>
      </w:pPr>
      <w:r>
        <w:rPr>
          <w:color w:val="000000"/>
          <w:sz w:val="24"/>
          <w:szCs w:val="24"/>
        </w:rPr>
        <w:t xml:space="preserve">1、中国证监会批准交银施罗德定期支付双息平衡混合型证券投资基金募集的文件； </w:t>
      </w:r>
    </w:p>
    <w:p>
      <w:pPr>
        <w:spacing w:before="29" w:line="288" w:lineRule="auto"/>
        <w:ind w:firstLine="480" w:firstLineChars="200"/>
        <w:rPr>
          <w:color w:val="000000"/>
          <w:sz w:val="24"/>
          <w:szCs w:val="24"/>
        </w:rPr>
      </w:pPr>
      <w:r>
        <w:rPr>
          <w:color w:val="000000"/>
          <w:sz w:val="24"/>
          <w:szCs w:val="24"/>
        </w:rPr>
        <w:t xml:space="preserve">2、《交银施罗德定期支付双息平衡混合型证券投资基金基金合同》； </w:t>
      </w:r>
    </w:p>
    <w:p>
      <w:pPr>
        <w:spacing w:before="29" w:line="288" w:lineRule="auto"/>
        <w:ind w:firstLine="480" w:firstLineChars="200"/>
        <w:rPr>
          <w:color w:val="000000"/>
          <w:sz w:val="24"/>
          <w:szCs w:val="24"/>
        </w:rPr>
      </w:pPr>
      <w:r>
        <w:rPr>
          <w:color w:val="000000"/>
          <w:sz w:val="24"/>
          <w:szCs w:val="24"/>
        </w:rPr>
        <w:t xml:space="preserve">3、《交银施罗德定期支付双息平衡混合型证券投资基金招募说明书》； </w:t>
      </w:r>
    </w:p>
    <w:p>
      <w:pPr>
        <w:spacing w:before="29" w:line="288" w:lineRule="auto"/>
        <w:ind w:firstLine="480" w:firstLineChars="200"/>
        <w:rPr>
          <w:color w:val="000000"/>
          <w:sz w:val="24"/>
          <w:szCs w:val="24"/>
        </w:rPr>
      </w:pPr>
      <w:r>
        <w:rPr>
          <w:color w:val="000000"/>
          <w:sz w:val="24"/>
          <w:szCs w:val="24"/>
        </w:rPr>
        <w:t xml:space="preserve">4、《交银施罗德定期支付双息平衡混合型证券投资基金托管协议》； </w:t>
      </w:r>
    </w:p>
    <w:p>
      <w:pPr>
        <w:spacing w:before="29" w:line="288" w:lineRule="auto"/>
        <w:ind w:firstLine="480" w:firstLineChars="200"/>
        <w:rPr>
          <w:color w:val="000000"/>
          <w:sz w:val="24"/>
          <w:szCs w:val="24"/>
        </w:rPr>
      </w:pPr>
      <w:r>
        <w:rPr>
          <w:color w:val="000000"/>
          <w:sz w:val="24"/>
          <w:szCs w:val="24"/>
        </w:rPr>
        <w:t xml:space="preserve">5、关于募集交银施罗德定期支付双息平衡混合型证券投资基金之法律意见书； </w:t>
      </w:r>
    </w:p>
    <w:p>
      <w:pPr>
        <w:spacing w:before="29" w:line="288" w:lineRule="auto"/>
        <w:ind w:firstLine="480" w:firstLineChars="200"/>
        <w:rPr>
          <w:color w:val="000000"/>
          <w:sz w:val="24"/>
          <w:szCs w:val="24"/>
        </w:rPr>
      </w:pPr>
      <w:r>
        <w:rPr>
          <w:color w:val="000000"/>
          <w:sz w:val="24"/>
          <w:szCs w:val="24"/>
        </w:rPr>
        <w:t xml:space="preserve">6、基金管理人业务资格批件、营业执照； </w:t>
      </w:r>
    </w:p>
    <w:p>
      <w:pPr>
        <w:spacing w:before="29" w:line="288" w:lineRule="auto"/>
        <w:ind w:firstLine="480" w:firstLineChars="200"/>
        <w:rPr>
          <w:color w:val="000000"/>
          <w:sz w:val="24"/>
          <w:szCs w:val="24"/>
        </w:rPr>
      </w:pPr>
      <w:r>
        <w:rPr>
          <w:color w:val="000000"/>
          <w:sz w:val="24"/>
          <w:szCs w:val="24"/>
        </w:rPr>
        <w:t xml:space="preserve">7、基金托管人业务资格批件、营业执照； </w:t>
      </w:r>
    </w:p>
    <w:p w:rsidP="00C15CAC" w:rsidR="004061AC" w:rsidRDefault="006D7FF8" w:rsidRPr="00414345">
      <w:pPr>
        <w:spacing w:before="29" w:line="288" w:lineRule="auto"/>
        <w:ind w:firstLine="480" w:firstLineChars="200"/>
        <w:rPr>
          <w:color w:val="000000"/>
          <w:sz w:val="24"/>
          <w:szCs w:val="24"/>
        </w:rPr>
      </w:pPr>
      <w:r w:rsidRPr="00414345">
        <w:rPr>
          <w:color w:val="000000"/>
          <w:sz w:val="24"/>
          <w:szCs w:val="24"/>
        </w:rPr>
        <w:t>8、报告期内交银施罗德定期支付双息平衡混合型证券投资基金在指定报刊上各项公告的原稿。</w:t>
      </w:r>
    </w:p>
    <w:p w:rsidP="00C15CAC" w:rsidR="006A48FD" w:rsidRDefault="006A48FD" w:rsidRPr="00414345">
      <w:pPr>
        <w:spacing w:before="29" w:line="288" w:lineRule="auto"/>
        <w:ind w:firstLine="480" w:firstLineChars="200"/>
        <w:rPr>
          <w:color w:val="000000"/>
          <w:sz w:val="24"/>
          <w:szCs w:val="24"/>
        </w:rPr>
      </w:pP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P="00C15CAC" w:rsidR="004061AC" w:rsidRDefault="006D7FF8" w:rsidRPr="00414345">
      <w:pPr>
        <w:spacing w:before="29" w:line="288" w:lineRule="auto"/>
        <w:ind w:firstLine="480" w:firstLineChars="200"/>
        <w:rPr>
          <w:color w:val="000000"/>
          <w:sz w:val="24"/>
          <w:szCs w:val="24"/>
        </w:rPr>
      </w:pPr>
      <w:r w:rsidRPr="00414345">
        <w:rPr>
          <w:color w:val="000000"/>
          <w:sz w:val="24"/>
          <w:szCs w:val="24"/>
        </w:rPr>
        <w:t>备查文件存放于基金管理人的办公场所。</w:t>
      </w:r>
    </w:p>
    <w:p w:rsidP="00C15CAC" w:rsidR="006A48FD" w:rsidRDefault="006A48FD" w:rsidRPr="00414345">
      <w:pPr>
        <w:spacing w:before="29" w:line="288" w:lineRule="auto"/>
        <w:ind w:firstLine="480" w:firstLineChars="200"/>
        <w:rPr>
          <w:color w:val="000000"/>
          <w:sz w:val="24"/>
          <w:szCs w:val="24"/>
        </w:rPr>
      </w:pP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pPr>
        <w:spacing w:before="29" w:line="288" w:lineRule="auto"/>
        <w:ind w:firstLine="480" w:firstLineChars="200"/>
        <w:rPr>
          <w:color w:val="000000"/>
          <w:sz w:val="24"/>
          <w:szCs w:val="24"/>
        </w:rPr>
      </w:pPr>
      <w:r>
        <w:rPr>
          <w:color w:val="000000"/>
          <w:sz w:val="24"/>
          <w:szCs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C15CAC" w:rsidR="00A90049" w:rsidRDefault="006D7FF8" w:rsidRPr="00414345">
      <w:pPr>
        <w:spacing w:before="29" w:line="288" w:lineRule="auto"/>
        <w:ind w:firstLine="480" w:firstLineChars="200"/>
        <w:rPr>
          <w:color w:val="000000"/>
          <w:sz w:val="24"/>
          <w:szCs w:val="24"/>
        </w:rPr>
      </w:pPr>
      <w:r w:rsidRPr="00414345">
        <w:rPr>
          <w:color w:val="000000"/>
          <w:sz w:val="24"/>
          <w:szCs w:val="24"/>
        </w:rPr>
        <w:t>投资者对本报告书如有疑问，可咨询本基金管理人交银施罗德基金管理有限公司。本公司客户服务中心电话：400-700-5000（免长途话费），021-61055000，电子邮件：services@jysld.com。</w:t>
      </w:r>
    </w:p>
    <w:p w:rsidP="00C15CAC" w:rsidR="002C3C7A" w:rsidRDefault="002C3C7A" w:rsidRPr="00414345">
      <w:pPr>
        <w:spacing w:before="29" w:line="288" w:lineRule="auto"/>
        <w:ind w:firstLine="480" w:firstLineChars="200"/>
        <w:rPr>
          <w:color w:val="000000"/>
          <w:sz w:val="24"/>
          <w:szCs w:val="24"/>
        </w:rPr>
      </w:pPr>
    </w:p>
    <w:sectPr w:rsidR="002C3C7A" w:rsidRPr="00414345" w:rsidSect="00000678">
      <w:pgSz w:code="9" w:h="16838" w:w="11906"/>
      <w:pgMar w:bottom="1440" w:footer="992" w:gutter="0" w:header="851" w:left="1440" w:right="144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A00" w:rsidRDefault="00B83A00" w:rsidP="00876D65">
      <w:r>
        <w:separator/>
      </w:r>
    </w:p>
  </w:endnote>
  <w:endnote w:type="continuationSeparator" w:id="0">
    <w:p w:rsidR="00B83A00" w:rsidRDefault="00B83A00"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Arial"/>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00" w:usb3="00000000" w:csb0="00040000"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6"/>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4D340C" w:rsidR="004D340C" w:rsidRDefault="004D340C" w:rsidRPr="001D0DB0">
    <w:pPr>
      <w:pStyle w:val="a6"/>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6B0D08">
      <w:rPr>
        <w:noProof/>
        <w:kern w:val="0"/>
        <w:szCs w:val="21"/>
      </w:rPr>
      <w:t>18</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6B0D08">
      <w:rPr>
        <w:noProof/>
        <w:kern w:val="0"/>
        <w:szCs w:val="21"/>
      </w:rPr>
      <w:t>24</w:t>
    </w:r>
    <w:r w:rsidR="00381EE8">
      <w:rPr>
        <w:kern w:val="0"/>
        <w:szCs w:val="21"/>
      </w:rPr>
      <w:fldChar w:fldCharType="end"/>
    </w:r>
    <w:r>
      <w:rPr>
        <w:rFonts w:hint="eastAsia"/>
        <w:kern w:val="0"/>
        <w:szCs w:val="21"/>
      </w:rPr>
      <w:t>页</w:t>
    </w: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6"/>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P="00876D65" w:rsidR="00B83A00" w:rsidRDefault="00B83A00">
      <w:r>
        <w:separator/>
      </w:r>
    </w:p>
  </w:footnote>
  <w:footnote w:id="0" w:type="continuationSeparator">
    <w:p w:rsidP="00876D65" w:rsidR="00B83A00" w:rsidRDefault="00B83A00">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9"/>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090A26" w:rsidR="00171EF0" w:rsidRDefault="00DC456F" w:rsidRPr="00DC456F">
    <w:pPr>
      <w:pStyle w:val="a9"/>
      <w:pBdr>
        <w:bottom w:color="auto" w:space="0" w:sz="6" w:val="single"/>
      </w:pBdr>
      <w:jc w:val="right"/>
      <w:rPr>
        <w:sz w:val="24"/>
        <w:szCs w:val="24"/>
      </w:rPr>
    </w:pPr>
    <w:r w:rsidRPr="003E676C">
      <w:rPr>
        <w:sz w:val="24"/>
        <w:szCs w:val="24"/>
      </w:rPr>
      <w:t>交银施罗德定期支付双息平衡混合型证券投资基金2019年第3季度报告</w:t>
    </w: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9"/>
    </w:pP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17055987"/>
    <w:multiLevelType w:val="hybridMultilevel"/>
    <w:tmpl w:val="6DACDB38"/>
    <w:lvl w:ilvl="0" w:tplc="307C87E8">
      <w:start w:val="2006"/>
      <w:numFmt w:val="bullet"/>
      <w:lvlText w:val="●"/>
      <w:lvlJc w:val="left"/>
      <w:pPr>
        <w:tabs>
          <w:tab w:pos="780" w:val="num"/>
        </w:tabs>
        <w:ind w:hanging="360" w:left="780"/>
      </w:pPr>
      <w:rPr>
        <w:rFonts w:ascii="Times New Roman" w:eastAsia="宋体" w:hAnsi="Times New Roman" w:hint="default"/>
      </w:rPr>
    </w:lvl>
    <w:lvl w:ilvl="1" w:tplc="04090003">
      <w:start w:val="1"/>
      <w:numFmt w:val="bullet"/>
      <w:lvlText w:val=""/>
      <w:lvlJc w:val="left"/>
      <w:pPr>
        <w:tabs>
          <w:tab w:pos="1260" w:val="num"/>
        </w:tabs>
        <w:ind w:hanging="420" w:left="1260"/>
      </w:pPr>
      <w:rPr>
        <w:rFonts w:ascii="Wingdings" w:cs="Wingdings" w:hAnsi="Wingdings" w:hint="default"/>
      </w:rPr>
    </w:lvl>
    <w:lvl w:ilvl="2" w:tplc="04090005">
      <w:start w:val="1"/>
      <w:numFmt w:val="bullet"/>
      <w:lvlText w:val=""/>
      <w:lvlJc w:val="left"/>
      <w:pPr>
        <w:tabs>
          <w:tab w:pos="1680" w:val="num"/>
        </w:tabs>
        <w:ind w:hanging="420" w:left="1680"/>
      </w:pPr>
      <w:rPr>
        <w:rFonts w:ascii="Wingdings" w:cs="Wingdings" w:hAnsi="Wingdings" w:hint="default"/>
      </w:rPr>
    </w:lvl>
    <w:lvl w:ilvl="3" w:tplc="04090001">
      <w:start w:val="1"/>
      <w:numFmt w:val="bullet"/>
      <w:lvlText w:val=""/>
      <w:lvlJc w:val="left"/>
      <w:pPr>
        <w:tabs>
          <w:tab w:pos="2100" w:val="num"/>
        </w:tabs>
        <w:ind w:hanging="420" w:left="2100"/>
      </w:pPr>
      <w:rPr>
        <w:rFonts w:ascii="Wingdings" w:cs="Wingdings" w:hAnsi="Wingdings" w:hint="default"/>
      </w:rPr>
    </w:lvl>
    <w:lvl w:ilvl="4" w:tplc="04090003">
      <w:start w:val="1"/>
      <w:numFmt w:val="bullet"/>
      <w:lvlText w:val=""/>
      <w:lvlJc w:val="left"/>
      <w:pPr>
        <w:tabs>
          <w:tab w:pos="2520" w:val="num"/>
        </w:tabs>
        <w:ind w:hanging="420" w:left="2520"/>
      </w:pPr>
      <w:rPr>
        <w:rFonts w:ascii="Wingdings" w:cs="Wingdings" w:hAnsi="Wingdings" w:hint="default"/>
      </w:rPr>
    </w:lvl>
    <w:lvl w:ilvl="5" w:tplc="04090005">
      <w:start w:val="1"/>
      <w:numFmt w:val="bullet"/>
      <w:lvlText w:val=""/>
      <w:lvlJc w:val="left"/>
      <w:pPr>
        <w:tabs>
          <w:tab w:pos="2940" w:val="num"/>
        </w:tabs>
        <w:ind w:hanging="420" w:left="2940"/>
      </w:pPr>
      <w:rPr>
        <w:rFonts w:ascii="Wingdings" w:cs="Wingdings" w:hAnsi="Wingdings" w:hint="default"/>
      </w:rPr>
    </w:lvl>
    <w:lvl w:ilvl="6" w:tplc="04090001">
      <w:start w:val="1"/>
      <w:numFmt w:val="bullet"/>
      <w:lvlText w:val=""/>
      <w:lvlJc w:val="left"/>
      <w:pPr>
        <w:tabs>
          <w:tab w:pos="3360" w:val="num"/>
        </w:tabs>
        <w:ind w:hanging="420" w:left="3360"/>
      </w:pPr>
      <w:rPr>
        <w:rFonts w:ascii="Wingdings" w:cs="Wingdings" w:hAnsi="Wingdings" w:hint="default"/>
      </w:rPr>
    </w:lvl>
    <w:lvl w:ilvl="7" w:tplc="04090003">
      <w:start w:val="1"/>
      <w:numFmt w:val="bullet"/>
      <w:lvlText w:val=""/>
      <w:lvlJc w:val="left"/>
      <w:pPr>
        <w:tabs>
          <w:tab w:pos="3780" w:val="num"/>
        </w:tabs>
        <w:ind w:hanging="420" w:left="3780"/>
      </w:pPr>
      <w:rPr>
        <w:rFonts w:ascii="Wingdings" w:cs="Wingdings" w:hAnsi="Wingdings" w:hint="default"/>
      </w:rPr>
    </w:lvl>
    <w:lvl w:ilvl="8" w:tplc="04090005">
      <w:start w:val="1"/>
      <w:numFmt w:val="bullet"/>
      <w:lvlText w:val=""/>
      <w:lvlJc w:val="left"/>
      <w:pPr>
        <w:tabs>
          <w:tab w:pos="4200" w:val="num"/>
        </w:tabs>
        <w:ind w:hanging="420" w:left="4200"/>
      </w:pPr>
      <w:rPr>
        <w:rFonts w:ascii="Wingdings" w:cs="Wingdings" w:hAnsi="Wingdings" w:hint="default"/>
      </w:rPr>
    </w:lvl>
  </w:abstractNum>
  <w:abstractNum w15:restartNumberingAfterBreak="0" w:abstractNumId="1">
    <w:nsid w:val="57E8240C"/>
    <w:multiLevelType w:val="hybridMultilevel"/>
    <w:tmpl w:val="300A7112"/>
    <w:lvl w:ilvl="0" w:tplc="3782FDB8">
      <w:start w:val="1"/>
      <w:numFmt w:val="decimal"/>
      <w:lvlText w:val="（%1）"/>
      <w:lvlJc w:val="left"/>
      <w:pPr>
        <w:tabs>
          <w:tab w:pos="1200" w:val="num"/>
        </w:tabs>
        <w:ind w:hanging="720" w:left="1200"/>
      </w:pPr>
      <w:rPr>
        <w:rFonts w:hint="eastAsia"/>
        <w:sz w:val="24"/>
        <w:szCs w:val="24"/>
      </w:rPr>
    </w:lvl>
    <w:lvl w:ilvl="1" w:tplc="04090019">
      <w:start w:val="1"/>
      <w:numFmt w:val="lowerLetter"/>
      <w:lvlText w:val="%2)"/>
      <w:lvlJc w:val="left"/>
      <w:pPr>
        <w:tabs>
          <w:tab w:pos="1320" w:val="num"/>
        </w:tabs>
        <w:ind w:hanging="420" w:left="1320"/>
      </w:pPr>
    </w:lvl>
    <w:lvl w:ilvl="2" w:tplc="0409001B">
      <w:start w:val="1"/>
      <w:numFmt w:val="lowerRoman"/>
      <w:lvlText w:val="%3."/>
      <w:lvlJc w:val="right"/>
      <w:pPr>
        <w:tabs>
          <w:tab w:pos="1740" w:val="num"/>
        </w:tabs>
        <w:ind w:hanging="420" w:left="1740"/>
      </w:pPr>
    </w:lvl>
    <w:lvl w:ilvl="3" w:tplc="0409000F">
      <w:start w:val="1"/>
      <w:numFmt w:val="decimal"/>
      <w:lvlText w:val="%4."/>
      <w:lvlJc w:val="left"/>
      <w:pPr>
        <w:tabs>
          <w:tab w:pos="2160" w:val="num"/>
        </w:tabs>
        <w:ind w:hanging="420" w:left="2160"/>
      </w:pPr>
    </w:lvl>
    <w:lvl w:ilvl="4" w:tplc="04090019">
      <w:start w:val="1"/>
      <w:numFmt w:val="lowerLetter"/>
      <w:lvlText w:val="%5)"/>
      <w:lvlJc w:val="left"/>
      <w:pPr>
        <w:tabs>
          <w:tab w:pos="2580" w:val="num"/>
        </w:tabs>
        <w:ind w:hanging="420" w:left="2580"/>
      </w:pPr>
    </w:lvl>
    <w:lvl w:ilvl="5" w:tplc="0409001B">
      <w:start w:val="1"/>
      <w:numFmt w:val="lowerRoman"/>
      <w:lvlText w:val="%6."/>
      <w:lvlJc w:val="right"/>
      <w:pPr>
        <w:tabs>
          <w:tab w:pos="3000" w:val="num"/>
        </w:tabs>
        <w:ind w:hanging="420" w:left="3000"/>
      </w:pPr>
    </w:lvl>
    <w:lvl w:ilvl="6" w:tplc="0409000F">
      <w:start w:val="1"/>
      <w:numFmt w:val="decimal"/>
      <w:lvlText w:val="%7."/>
      <w:lvlJc w:val="left"/>
      <w:pPr>
        <w:tabs>
          <w:tab w:pos="3420" w:val="num"/>
        </w:tabs>
        <w:ind w:hanging="420" w:left="3420"/>
      </w:pPr>
    </w:lvl>
    <w:lvl w:ilvl="7" w:tplc="04090019">
      <w:start w:val="1"/>
      <w:numFmt w:val="lowerLetter"/>
      <w:lvlText w:val="%8)"/>
      <w:lvlJc w:val="left"/>
      <w:pPr>
        <w:tabs>
          <w:tab w:pos="3840" w:val="num"/>
        </w:tabs>
        <w:ind w:hanging="420" w:left="3840"/>
      </w:pPr>
    </w:lvl>
    <w:lvl w:ilvl="8" w:tplc="0409001B">
      <w:start w:val="1"/>
      <w:numFmt w:val="lowerRoman"/>
      <w:lvlText w:val="%9."/>
      <w:lvlJc w:val="right"/>
      <w:pPr>
        <w:tabs>
          <w:tab w:pos="4260" w:val="num"/>
        </w:tabs>
        <w:ind w:hanging="420" w:left="4260"/>
      </w:pPr>
    </w:lvl>
  </w:abstractNum>
  <w:abstractNum w15:restartNumberingAfterBreak="0" w:abstractNumId="2">
    <w:nsid w:val="7EC34207"/>
    <w:multiLevelType w:val="hybridMultilevel"/>
    <w:tmpl w:val="58FC50DE"/>
    <w:lvl w:ilvl="0" w:tplc="788C0680">
      <w:start w:val="1"/>
      <w:numFmt w:val="japaneseCounting"/>
      <w:lvlText w:val="%1、"/>
      <w:lvlJc w:val="left"/>
      <w:pPr>
        <w:tabs>
          <w:tab w:pos="480" w:val="num"/>
        </w:tabs>
        <w:ind w:hanging="480" w:left="480"/>
      </w:pPr>
      <w:rPr>
        <w:rFonts w:eastAsia="宋体" w:hint="eastAsia"/>
        <w:color w:val="auto"/>
      </w:rPr>
    </w:lvl>
    <w:lvl w:ilvl="1" w:tplc="D5ACC954">
      <w:start w:val="1"/>
      <w:numFmt w:val="japaneseCounting"/>
      <w:lvlText w:val="(%2)"/>
      <w:lvlJc w:val="left"/>
      <w:pPr>
        <w:tabs>
          <w:tab w:pos="810" w:val="num"/>
        </w:tabs>
        <w:ind w:hanging="390" w:left="810"/>
      </w:pPr>
      <w:rPr>
        <w:rFonts w:hint="eastAsia"/>
      </w:rPr>
    </w:lvl>
    <w:lvl w:ilvl="2" w:tplc="E2F6B948">
      <w:start w:val="1"/>
      <w:numFmt w:val="decimal"/>
      <w:lvlText w:val="%3、"/>
      <w:lvlJc w:val="left"/>
      <w:pPr>
        <w:tabs>
          <w:tab w:pos="1200" w:val="num"/>
        </w:tabs>
        <w:ind w:hanging="360" w:left="1200"/>
      </w:pPr>
      <w:rPr>
        <w:rFonts w:hint="eastAsia"/>
      </w:rPr>
    </w:lvl>
    <w:lvl w:ilvl="3" w:tplc="0409000F">
      <w:start w:val="1"/>
      <w:numFmt w:val="decimal"/>
      <w:lvlText w:val="%4."/>
      <w:lvlJc w:val="left"/>
      <w:pPr>
        <w:tabs>
          <w:tab w:pos="1680" w:val="num"/>
        </w:tabs>
        <w:ind w:hanging="420" w:left="1680"/>
      </w:pPr>
    </w:lvl>
    <w:lvl w:ilvl="4" w:tplc="04090019">
      <w:start w:val="1"/>
      <w:numFmt w:val="lowerLetter"/>
      <w:lvlText w:val="%5)"/>
      <w:lvlJc w:val="left"/>
      <w:pPr>
        <w:tabs>
          <w:tab w:pos="2100" w:val="num"/>
        </w:tabs>
        <w:ind w:hanging="420" w:left="2100"/>
      </w:pPr>
    </w:lvl>
    <w:lvl w:ilvl="5" w:tplc="0409001B">
      <w:start w:val="1"/>
      <w:numFmt w:val="lowerRoman"/>
      <w:lvlText w:val="%6."/>
      <w:lvlJc w:val="right"/>
      <w:pPr>
        <w:tabs>
          <w:tab w:pos="2520" w:val="num"/>
        </w:tabs>
        <w:ind w:hanging="420" w:left="2520"/>
      </w:pPr>
    </w:lvl>
    <w:lvl w:ilvl="6" w:tplc="0409000F">
      <w:start w:val="1"/>
      <w:numFmt w:val="decimal"/>
      <w:lvlText w:val="%7."/>
      <w:lvlJc w:val="left"/>
      <w:pPr>
        <w:tabs>
          <w:tab w:pos="2940" w:val="num"/>
        </w:tabs>
        <w:ind w:hanging="420" w:left="2940"/>
      </w:pPr>
    </w:lvl>
    <w:lvl w:ilvl="7" w:tplc="04090019">
      <w:start w:val="1"/>
      <w:numFmt w:val="lowerLetter"/>
      <w:lvlText w:val="%8)"/>
      <w:lvlJc w:val="left"/>
      <w:pPr>
        <w:tabs>
          <w:tab w:pos="3360" w:val="num"/>
        </w:tabs>
        <w:ind w:hanging="420" w:left="3360"/>
      </w:pPr>
    </w:lvl>
    <w:lvl w:ilvl="8" w:tplc="0409001B">
      <w:start w:val="1"/>
      <w:numFmt w:val="lowerRoman"/>
      <w:lvlText w:val="%9."/>
      <w:lvlJc w:val="right"/>
      <w:pPr>
        <w:tabs>
          <w:tab w:pos="3780" w:val="num"/>
        </w:tabs>
        <w:ind w:hanging="420" w:left="378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66A97"/>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26E"/>
    <w:rsid w:val="001717D5"/>
    <w:rsid w:val="00171EF0"/>
    <w:rsid w:val="00173B44"/>
    <w:rsid w:val="001761D2"/>
    <w:rsid w:val="00176C21"/>
    <w:rsid w:val="0018138B"/>
    <w:rsid w:val="001830D7"/>
    <w:rsid w:val="00185A34"/>
    <w:rsid w:val="001934F6"/>
    <w:rsid w:val="00196E6C"/>
    <w:rsid w:val="001A280A"/>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5A47"/>
    <w:rsid w:val="003470E2"/>
    <w:rsid w:val="0035076C"/>
    <w:rsid w:val="00352719"/>
    <w:rsid w:val="0035383E"/>
    <w:rsid w:val="00355364"/>
    <w:rsid w:val="00364CCB"/>
    <w:rsid w:val="00365798"/>
    <w:rsid w:val="00372F16"/>
    <w:rsid w:val="00381EE8"/>
    <w:rsid w:val="0039085F"/>
    <w:rsid w:val="00394069"/>
    <w:rsid w:val="00396809"/>
    <w:rsid w:val="003A58DC"/>
    <w:rsid w:val="003A6061"/>
    <w:rsid w:val="003B3494"/>
    <w:rsid w:val="003B5E08"/>
    <w:rsid w:val="003B6FBC"/>
    <w:rsid w:val="003C32C0"/>
    <w:rsid w:val="003C50AD"/>
    <w:rsid w:val="003D2269"/>
    <w:rsid w:val="003D742E"/>
    <w:rsid w:val="003E62FB"/>
    <w:rsid w:val="003E6867"/>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6A8F"/>
    <w:rsid w:val="00427F58"/>
    <w:rsid w:val="00433805"/>
    <w:rsid w:val="00442F8D"/>
    <w:rsid w:val="00443869"/>
    <w:rsid w:val="00443ABF"/>
    <w:rsid w:val="00460575"/>
    <w:rsid w:val="00463EC0"/>
    <w:rsid w:val="00464787"/>
    <w:rsid w:val="00471408"/>
    <w:rsid w:val="00480B35"/>
    <w:rsid w:val="004858E0"/>
    <w:rsid w:val="00487A40"/>
    <w:rsid w:val="004917C3"/>
    <w:rsid w:val="00491C81"/>
    <w:rsid w:val="004934E9"/>
    <w:rsid w:val="004943C2"/>
    <w:rsid w:val="004949F3"/>
    <w:rsid w:val="004A0AA9"/>
    <w:rsid w:val="004A11A7"/>
    <w:rsid w:val="004A459C"/>
    <w:rsid w:val="004A7B1D"/>
    <w:rsid w:val="004B2AF4"/>
    <w:rsid w:val="004C0914"/>
    <w:rsid w:val="004C20CA"/>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4A5"/>
    <w:rsid w:val="005B09FA"/>
    <w:rsid w:val="005B2E9C"/>
    <w:rsid w:val="005B3CC0"/>
    <w:rsid w:val="005B4C8F"/>
    <w:rsid w:val="005B4F93"/>
    <w:rsid w:val="005B73D2"/>
    <w:rsid w:val="005D2B36"/>
    <w:rsid w:val="005E475E"/>
    <w:rsid w:val="005F118D"/>
    <w:rsid w:val="005F1F22"/>
    <w:rsid w:val="005F3996"/>
    <w:rsid w:val="005F3B8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0D08"/>
    <w:rsid w:val="006B11BB"/>
    <w:rsid w:val="006B2FF6"/>
    <w:rsid w:val="006B5457"/>
    <w:rsid w:val="006B5F69"/>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2639"/>
    <w:rsid w:val="007B4C04"/>
    <w:rsid w:val="007B5AFB"/>
    <w:rsid w:val="007B5F21"/>
    <w:rsid w:val="007C395A"/>
    <w:rsid w:val="007C5862"/>
    <w:rsid w:val="007D0922"/>
    <w:rsid w:val="007D100C"/>
    <w:rsid w:val="007E2686"/>
    <w:rsid w:val="007E57C0"/>
    <w:rsid w:val="007F29B1"/>
    <w:rsid w:val="007F6DD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868F3"/>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1009"/>
    <w:rsid w:val="009C5186"/>
    <w:rsid w:val="009C60F7"/>
    <w:rsid w:val="009D0952"/>
    <w:rsid w:val="009D1BD9"/>
    <w:rsid w:val="009E19A9"/>
    <w:rsid w:val="009E31DA"/>
    <w:rsid w:val="009E402C"/>
    <w:rsid w:val="009E7C6A"/>
    <w:rsid w:val="009F27F9"/>
    <w:rsid w:val="009F3659"/>
    <w:rsid w:val="009F4861"/>
    <w:rsid w:val="009F61BE"/>
    <w:rsid w:val="009F7643"/>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AF6FFB"/>
    <w:rsid w:val="00B11A78"/>
    <w:rsid w:val="00B11BE5"/>
    <w:rsid w:val="00B11F31"/>
    <w:rsid w:val="00B12B7D"/>
    <w:rsid w:val="00B16985"/>
    <w:rsid w:val="00B22DEE"/>
    <w:rsid w:val="00B27479"/>
    <w:rsid w:val="00B32AA7"/>
    <w:rsid w:val="00B34678"/>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3A00"/>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05E0"/>
    <w:rsid w:val="00BD70E0"/>
    <w:rsid w:val="00BD7473"/>
    <w:rsid w:val="00BD7703"/>
    <w:rsid w:val="00BE14ED"/>
    <w:rsid w:val="00BE420D"/>
    <w:rsid w:val="00BE5388"/>
    <w:rsid w:val="00BF0019"/>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39AB"/>
    <w:rsid w:val="00CE473F"/>
    <w:rsid w:val="00CE7169"/>
    <w:rsid w:val="00CF04CF"/>
    <w:rsid w:val="00CF2D3E"/>
    <w:rsid w:val="00CF6572"/>
    <w:rsid w:val="00D01FE6"/>
    <w:rsid w:val="00D02347"/>
    <w:rsid w:val="00D03EB3"/>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D7A00"/>
    <w:rsid w:val="00DE27F7"/>
    <w:rsid w:val="00DE4B4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1826"/>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docId w15:val="{FB5B536B-9DA6-4920-8EA4-43C10A5F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EastAsia" w:hAnsiTheme="minorHAnsi"/>
        <w:kern w:val="2"/>
        <w:sz w:val="21"/>
        <w:szCs w:val="22"/>
        <w:lang w:bidi="ar-SA" w:eastAsia="zh-CN" w:val="en-US"/>
      </w:rPr>
    </w:rPrDefault>
    <w:pPrDefault/>
  </w:docDefaults>
  <w:latentStyles w:count="371" w:defLockedState="0" w:defQFormat="0" w:defSemiHidden="0" w:defUIPriority="99" w:defUnhideWhenUsed="0">
    <w:lsdException w:name="Normal" w:qFormat="1" w:uiPriority="0"/>
    <w:lsdException w:name="heading 1" w:qFormat="1"/>
    <w:lsdException w:name="heading 2" w:qFormat="1" w:semiHidden="1" w:unhideWhenUsed="1"/>
    <w:lsdException w:name="heading 3" w:qFormat="1" w:semiHidden="1"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4061AC"/>
    <w:pPr>
      <w:widowControl w:val="0"/>
      <w:jc w:val="both"/>
    </w:pPr>
    <w:rPr>
      <w:rFonts w:ascii="Times New Roman" w:cs="Times New Roman" w:eastAsia="宋体" w:hAnsi="Times New Roman"/>
      <w:szCs w:val="21"/>
    </w:rPr>
  </w:style>
  <w:style w:styleId="1" w:type="paragraph">
    <w:name w:val="heading 1"/>
    <w:basedOn w:val="a"/>
    <w:next w:val="a"/>
    <w:link w:val="1Char"/>
    <w:uiPriority w:val="99"/>
    <w:qFormat/>
    <w:rsid w:val="004061AC"/>
    <w:pPr>
      <w:keepNext/>
      <w:keepLines/>
      <w:spacing w:after="330" w:before="340" w:line="578" w:lineRule="auto"/>
      <w:outlineLvl w:val="0"/>
    </w:pPr>
    <w:rPr>
      <w:b/>
      <w:bCs/>
      <w:kern w:val="44"/>
      <w:sz w:val="44"/>
      <w:szCs w:val="44"/>
    </w:rPr>
  </w:style>
  <w:style w:styleId="2" w:type="paragraph">
    <w:name w:val="heading 2"/>
    <w:basedOn w:val="a"/>
    <w:next w:val="a0"/>
    <w:link w:val="2Char"/>
    <w:uiPriority w:val="99"/>
    <w:qFormat/>
    <w:rsid w:val="004061AC"/>
    <w:pPr>
      <w:keepNext/>
      <w:keepLines/>
      <w:spacing w:after="260" w:before="260" w:line="360" w:lineRule="auto"/>
      <w:outlineLvl w:val="1"/>
    </w:pPr>
    <w:rPr>
      <w:rFonts w:ascii="Arial" w:cs="Arial" w:hAnsi="Arial"/>
      <w:b/>
      <w:bCs/>
      <w:sz w:val="24"/>
      <w:szCs w:val="24"/>
    </w:rPr>
  </w:style>
  <w:style w:styleId="3" w:type="paragraph">
    <w:name w:val="heading 3"/>
    <w:basedOn w:val="a"/>
    <w:next w:val="a"/>
    <w:link w:val="3Char"/>
    <w:uiPriority w:val="99"/>
    <w:qFormat/>
    <w:rsid w:val="004061AC"/>
    <w:pPr>
      <w:keepNext/>
      <w:keepLines/>
      <w:spacing w:after="260" w:before="260" w:line="416" w:lineRule="auto"/>
      <w:outlineLvl w:val="2"/>
    </w:pPr>
    <w:rPr>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customStyle="1" w:styleId="1Char" w:type="character">
    <w:name w:val="标题 1 Char"/>
    <w:basedOn w:val="a1"/>
    <w:link w:val="1"/>
    <w:uiPriority w:val="99"/>
    <w:rsid w:val="004061AC"/>
    <w:rPr>
      <w:rFonts w:ascii="Times New Roman" w:cs="Times New Roman" w:eastAsia="宋体" w:hAnsi="Times New Roman"/>
      <w:b/>
      <w:bCs/>
      <w:kern w:val="44"/>
      <w:sz w:val="44"/>
      <w:szCs w:val="44"/>
    </w:rPr>
  </w:style>
  <w:style w:customStyle="1" w:styleId="2Char" w:type="character">
    <w:name w:val="标题 2 Char"/>
    <w:basedOn w:val="a1"/>
    <w:link w:val="2"/>
    <w:uiPriority w:val="99"/>
    <w:rsid w:val="004061AC"/>
    <w:rPr>
      <w:rFonts w:ascii="Arial" w:cs="Arial" w:eastAsia="宋体" w:hAnsi="Arial"/>
      <w:b/>
      <w:bCs/>
      <w:sz w:val="24"/>
      <w:szCs w:val="24"/>
    </w:rPr>
  </w:style>
  <w:style w:customStyle="1" w:styleId="3Char" w:type="character">
    <w:name w:val="标题 3 Char"/>
    <w:basedOn w:val="a1"/>
    <w:link w:val="3"/>
    <w:uiPriority w:val="99"/>
    <w:rsid w:val="004061AC"/>
    <w:rPr>
      <w:rFonts w:ascii="Times New Roman" w:cs="Times New Roman" w:eastAsia="宋体" w:hAnsi="Times New Roman"/>
      <w:b/>
      <w:bCs/>
      <w:sz w:val="32"/>
      <w:szCs w:val="32"/>
    </w:rPr>
  </w:style>
  <w:style w:styleId="a0" w:type="paragraph">
    <w:name w:val="Normal Indent"/>
    <w:basedOn w:val="a"/>
    <w:uiPriority w:val="99"/>
    <w:rsid w:val="004061AC"/>
    <w:pPr>
      <w:ind w:firstLine="420" w:firstLineChars="200"/>
    </w:pPr>
  </w:style>
  <w:style w:styleId="a4" w:type="paragraph">
    <w:name w:val="Body Text Indent"/>
    <w:basedOn w:val="a"/>
    <w:link w:val="Char"/>
    <w:uiPriority w:val="99"/>
    <w:rsid w:val="004061AC"/>
    <w:pPr>
      <w:widowControl/>
      <w:spacing w:after="100" w:afterAutospacing="1" w:before="100" w:beforeAutospacing="1"/>
      <w:jc w:val="left"/>
    </w:pPr>
    <w:rPr>
      <w:rFonts w:ascii="Arial Unicode MS" w:cs="Arial Unicode MS" w:eastAsia="Arial Unicode MS" w:hAnsi="Arial Unicode MS"/>
      <w:kern w:val="0"/>
      <w:sz w:val="24"/>
      <w:szCs w:val="24"/>
    </w:rPr>
  </w:style>
  <w:style w:customStyle="1" w:styleId="Char" w:type="character">
    <w:name w:val="正文文本缩进 Char"/>
    <w:basedOn w:val="a1"/>
    <w:link w:val="a4"/>
    <w:uiPriority w:val="99"/>
    <w:rsid w:val="004061AC"/>
    <w:rPr>
      <w:rFonts w:ascii="Arial Unicode MS" w:cs="Arial Unicode MS" w:eastAsia="Arial Unicode MS" w:hAnsi="Arial Unicode MS"/>
      <w:kern w:val="0"/>
      <w:sz w:val="24"/>
      <w:szCs w:val="24"/>
    </w:rPr>
  </w:style>
  <w:style w:styleId="a5" w:type="paragraph">
    <w:name w:val="Plain Text"/>
    <w:basedOn w:val="a"/>
    <w:link w:val="Char0"/>
    <w:uiPriority w:val="99"/>
    <w:rsid w:val="004061AC"/>
    <w:rPr>
      <w:rFonts w:ascii="宋体" w:cs="宋体" w:hAnsi="Courier New"/>
    </w:rPr>
  </w:style>
  <w:style w:customStyle="1" w:styleId="Char0" w:type="character">
    <w:name w:val="纯文本 Char"/>
    <w:basedOn w:val="a1"/>
    <w:link w:val="a5"/>
    <w:uiPriority w:val="99"/>
    <w:rsid w:val="004061AC"/>
    <w:rPr>
      <w:rFonts w:ascii="宋体" w:cs="宋体" w:eastAsia="宋体" w:hAnsi="Courier New"/>
      <w:szCs w:val="21"/>
    </w:rPr>
  </w:style>
  <w:style w:styleId="20" w:type="paragraph">
    <w:name w:val="Body Text Indent 2"/>
    <w:basedOn w:val="a"/>
    <w:link w:val="2Char0"/>
    <w:uiPriority w:val="99"/>
    <w:rsid w:val="004061AC"/>
    <w:pPr>
      <w:spacing w:line="560" w:lineRule="exact"/>
      <w:ind w:firstLine="480" w:firstLineChars="200"/>
    </w:pPr>
    <w:rPr>
      <w:rFonts w:ascii="宋体" w:cs="宋体" w:hAnsi="宋体"/>
      <w:color w:val="FF0000"/>
      <w:sz w:val="24"/>
      <w:szCs w:val="24"/>
    </w:rPr>
  </w:style>
  <w:style w:customStyle="1" w:styleId="2Char0" w:type="character">
    <w:name w:val="正文文本缩进 2 Char"/>
    <w:basedOn w:val="a1"/>
    <w:link w:val="20"/>
    <w:uiPriority w:val="99"/>
    <w:rsid w:val="004061AC"/>
    <w:rPr>
      <w:rFonts w:ascii="宋体" w:cs="宋体" w:eastAsia="宋体" w:hAnsi="宋体"/>
      <w:color w:val="FF0000"/>
      <w:sz w:val="24"/>
      <w:szCs w:val="24"/>
    </w:rPr>
  </w:style>
  <w:style w:styleId="a6" w:type="paragraph">
    <w:name w:val="footer"/>
    <w:basedOn w:val="a"/>
    <w:link w:val="Char1"/>
    <w:rsid w:val="004061AC"/>
    <w:pPr>
      <w:tabs>
        <w:tab w:pos="4153" w:val="center"/>
        <w:tab w:pos="8306" w:val="right"/>
      </w:tabs>
      <w:snapToGrid w:val="0"/>
      <w:jc w:val="left"/>
    </w:pPr>
    <w:rPr>
      <w:sz w:val="18"/>
      <w:szCs w:val="18"/>
    </w:rPr>
  </w:style>
  <w:style w:customStyle="1" w:styleId="Char1" w:type="character">
    <w:name w:val="页脚 Char"/>
    <w:basedOn w:val="a1"/>
    <w:link w:val="a6"/>
    <w:uiPriority w:val="99"/>
    <w:rsid w:val="004061AC"/>
    <w:rPr>
      <w:rFonts w:ascii="Times New Roman" w:cs="Times New Roman" w:eastAsia="宋体" w:hAnsi="Times New Roman"/>
      <w:sz w:val="18"/>
      <w:szCs w:val="18"/>
    </w:rPr>
  </w:style>
  <w:style w:styleId="a7" w:type="character">
    <w:name w:val="page number"/>
    <w:basedOn w:val="a1"/>
    <w:uiPriority w:val="99"/>
    <w:rsid w:val="004061AC"/>
  </w:style>
  <w:style w:styleId="a8" w:type="character">
    <w:name w:val="Hyperlink"/>
    <w:basedOn w:val="a1"/>
    <w:uiPriority w:val="99"/>
    <w:rsid w:val="004061AC"/>
    <w:rPr>
      <w:color w:val="0000FF"/>
      <w:u w:val="single"/>
    </w:rPr>
  </w:style>
  <w:style w:styleId="30" w:type="paragraph">
    <w:name w:val="Body Text Indent 3"/>
    <w:basedOn w:val="a"/>
    <w:link w:val="3Char0"/>
    <w:uiPriority w:val="99"/>
    <w:rsid w:val="004061AC"/>
    <w:pPr>
      <w:spacing w:line="560" w:lineRule="exact"/>
      <w:ind w:firstLine="420" w:firstLineChars="200"/>
    </w:pPr>
    <w:rPr>
      <w:rFonts w:ascii="Arial" w:cs="Arial" w:hAnsi="Arial"/>
      <w:color w:val="FF0000"/>
    </w:rPr>
  </w:style>
  <w:style w:customStyle="1" w:styleId="3Char0" w:type="character">
    <w:name w:val="正文文本缩进 3 Char"/>
    <w:basedOn w:val="a1"/>
    <w:link w:val="30"/>
    <w:uiPriority w:val="99"/>
    <w:rsid w:val="004061AC"/>
    <w:rPr>
      <w:rFonts w:ascii="Arial" w:cs="Arial" w:eastAsia="宋体" w:hAnsi="Arial"/>
      <w:color w:val="FF0000"/>
      <w:szCs w:val="21"/>
    </w:rPr>
  </w:style>
  <w:style w:styleId="a9" w:type="paragraph">
    <w:name w:val="header"/>
    <w:basedOn w:val="a"/>
    <w:link w:val="Char2"/>
    <w:uiPriority w:val="99"/>
    <w:rsid w:val="004061AC"/>
    <w:pPr>
      <w:pBdr>
        <w:bottom w:color="auto" w:space="1" w:sz="6" w:val="single"/>
      </w:pBdr>
      <w:tabs>
        <w:tab w:pos="4153" w:val="center"/>
        <w:tab w:pos="8306" w:val="right"/>
      </w:tabs>
      <w:snapToGrid w:val="0"/>
      <w:jc w:val="center"/>
    </w:pPr>
    <w:rPr>
      <w:sz w:val="18"/>
      <w:szCs w:val="18"/>
    </w:rPr>
  </w:style>
  <w:style w:customStyle="1" w:styleId="Char2" w:type="character">
    <w:name w:val="页眉 Char"/>
    <w:basedOn w:val="a1"/>
    <w:link w:val="a9"/>
    <w:uiPriority w:val="99"/>
    <w:rsid w:val="004061AC"/>
    <w:rPr>
      <w:rFonts w:ascii="Times New Roman" w:cs="Times New Roman" w:eastAsia="宋体" w:hAnsi="Times New Roman"/>
      <w:sz w:val="18"/>
      <w:szCs w:val="18"/>
    </w:rPr>
  </w:style>
  <w:style w:styleId="aa" w:type="character">
    <w:name w:val="FollowedHyperlink"/>
    <w:basedOn w:val="a1"/>
    <w:uiPriority w:val="99"/>
    <w:rsid w:val="004061AC"/>
    <w:rPr>
      <w:color w:val="800080"/>
      <w:u w:val="single"/>
    </w:rPr>
  </w:style>
  <w:style w:styleId="ab" w:type="paragraph">
    <w:name w:val="List"/>
    <w:basedOn w:val="ac"/>
    <w:uiPriority w:val="99"/>
    <w:rsid w:val="004061AC"/>
    <w:pPr>
      <w:spacing w:after="220" w:line="220" w:lineRule="atLeast"/>
      <w:ind w:hanging="360" w:left="1440"/>
    </w:pPr>
  </w:style>
  <w:style w:styleId="ac" w:type="paragraph">
    <w:name w:val="Body Text"/>
    <w:basedOn w:val="a"/>
    <w:link w:val="Char3"/>
    <w:uiPriority w:val="99"/>
    <w:rsid w:val="004061AC"/>
    <w:pPr>
      <w:spacing w:after="120"/>
    </w:pPr>
  </w:style>
  <w:style w:customStyle="1" w:styleId="Char3" w:type="character">
    <w:name w:val="正文文本 Char"/>
    <w:basedOn w:val="a1"/>
    <w:link w:val="ac"/>
    <w:uiPriority w:val="99"/>
    <w:rsid w:val="004061AC"/>
    <w:rPr>
      <w:rFonts w:ascii="Times New Roman" w:cs="Times New Roman" w:eastAsia="宋体" w:hAnsi="Times New Roman"/>
      <w:szCs w:val="21"/>
    </w:rPr>
  </w:style>
  <w:style w:styleId="ad" w:type="paragraph">
    <w:name w:val="Date"/>
    <w:basedOn w:val="a"/>
    <w:next w:val="a"/>
    <w:link w:val="Char4"/>
    <w:rsid w:val="004061AC"/>
    <w:rPr>
      <w:sz w:val="24"/>
      <w:szCs w:val="24"/>
    </w:rPr>
  </w:style>
  <w:style w:customStyle="1" w:styleId="Char4" w:type="character">
    <w:name w:val="日期 Char"/>
    <w:basedOn w:val="a1"/>
    <w:link w:val="ad"/>
    <w:rsid w:val="004061AC"/>
    <w:rPr>
      <w:rFonts w:ascii="Times New Roman" w:cs="Times New Roman" w:eastAsia="宋体" w:hAnsi="Times New Roman"/>
      <w:sz w:val="24"/>
      <w:szCs w:val="24"/>
    </w:rPr>
  </w:style>
  <w:style w:customStyle="1" w:styleId="c1" w:type="character">
    <w:name w:val="c1"/>
    <w:basedOn w:val="a1"/>
    <w:uiPriority w:val="99"/>
    <w:rsid w:val="004061AC"/>
    <w:rPr>
      <w:color w:val="000000"/>
      <w:sz w:val="18"/>
      <w:szCs w:val="18"/>
    </w:rPr>
  </w:style>
  <w:style w:styleId="10" w:type="paragraph">
    <w:name w:val="index 1"/>
    <w:basedOn w:val="a"/>
    <w:next w:val="a"/>
    <w:autoRedefine/>
    <w:uiPriority w:val="99"/>
    <w:semiHidden/>
    <w:rsid w:val="004061AC"/>
    <w:pPr>
      <w:jc w:val="right"/>
    </w:pPr>
    <w:rPr>
      <w:color w:val="008000"/>
    </w:rPr>
  </w:style>
  <w:style w:customStyle="1" w:styleId="font5" w:type="paragraph">
    <w:name w:val="font5"/>
    <w:basedOn w:val="a"/>
    <w:uiPriority w:val="99"/>
    <w:rsid w:val="004061AC"/>
    <w:pPr>
      <w:widowControl/>
      <w:spacing w:after="100" w:afterAutospacing="1" w:before="100" w:beforeAutospacing="1"/>
      <w:jc w:val="left"/>
    </w:pPr>
    <w:rPr>
      <w:rFonts w:ascii="宋体" w:cs="宋体" w:hAnsi="宋体"/>
      <w:kern w:val="0"/>
      <w:sz w:val="18"/>
      <w:szCs w:val="18"/>
    </w:rPr>
  </w:style>
  <w:style w:customStyle="1" w:styleId="xl24" w:type="paragraph">
    <w:name w:val="xl24"/>
    <w:basedOn w:val="a"/>
    <w:uiPriority w:val="99"/>
    <w:rsid w:val="004061AC"/>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xl26" w:type="paragraph">
    <w:name w:val="xl26"/>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7" w:type="paragraph">
    <w:name w:val="xl27"/>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9" w:type="paragraph">
    <w:name w:val="xl29"/>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0" w:type="paragraph">
    <w:name w:val="xl30"/>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1" w:type="paragraph">
    <w:name w:val="xl31"/>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styleId="ae" w:type="paragraph">
    <w:name w:val="Balloon Text"/>
    <w:basedOn w:val="a"/>
    <w:link w:val="Char5"/>
    <w:uiPriority w:val="99"/>
    <w:semiHidden/>
    <w:rsid w:val="004061AC"/>
    <w:rPr>
      <w:sz w:val="18"/>
      <w:szCs w:val="18"/>
    </w:rPr>
  </w:style>
  <w:style w:customStyle="1" w:styleId="Char5" w:type="character">
    <w:name w:val="批注框文本 Char"/>
    <w:basedOn w:val="a1"/>
    <w:link w:val="ae"/>
    <w:uiPriority w:val="99"/>
    <w:semiHidden/>
    <w:rsid w:val="004061AC"/>
    <w:rPr>
      <w:rFonts w:ascii="Times New Roman" w:cs="Times New Roman" w:eastAsia="宋体" w:hAnsi="Times New Roman"/>
      <w:sz w:val="18"/>
      <w:szCs w:val="18"/>
    </w:rPr>
  </w:style>
  <w:style w:styleId="af" w:type="character">
    <w:name w:val="annotation reference"/>
    <w:basedOn w:val="a1"/>
    <w:uiPriority w:val="99"/>
    <w:semiHidden/>
    <w:rsid w:val="004061AC"/>
    <w:rPr>
      <w:sz w:val="21"/>
      <w:szCs w:val="21"/>
    </w:rPr>
  </w:style>
  <w:style w:styleId="af0" w:type="paragraph">
    <w:name w:val="annotation text"/>
    <w:basedOn w:val="a"/>
    <w:link w:val="Char6"/>
    <w:uiPriority w:val="99"/>
    <w:semiHidden/>
    <w:rsid w:val="004061AC"/>
    <w:pPr>
      <w:jc w:val="left"/>
    </w:pPr>
  </w:style>
  <w:style w:customStyle="1" w:styleId="Char6" w:type="character">
    <w:name w:val="批注文字 Char"/>
    <w:basedOn w:val="a1"/>
    <w:link w:val="af0"/>
    <w:uiPriority w:val="99"/>
    <w:semiHidden/>
    <w:rsid w:val="004061AC"/>
    <w:rPr>
      <w:rFonts w:ascii="Times New Roman" w:cs="Times New Roman" w:eastAsia="宋体" w:hAnsi="Times New Roman"/>
      <w:szCs w:val="21"/>
    </w:rPr>
  </w:style>
  <w:style w:styleId="af1" w:type="paragraph">
    <w:name w:val="annotation subject"/>
    <w:basedOn w:val="af0"/>
    <w:next w:val="af0"/>
    <w:link w:val="Char7"/>
    <w:uiPriority w:val="99"/>
    <w:semiHidden/>
    <w:rsid w:val="004061AC"/>
    <w:rPr>
      <w:b/>
      <w:bCs/>
    </w:rPr>
  </w:style>
  <w:style w:customStyle="1" w:styleId="Char7" w:type="character">
    <w:name w:val="批注主题 Char"/>
    <w:basedOn w:val="Char6"/>
    <w:link w:val="af1"/>
    <w:uiPriority w:val="99"/>
    <w:semiHidden/>
    <w:rsid w:val="004061AC"/>
    <w:rPr>
      <w:rFonts w:ascii="Times New Roman" w:cs="Times New Roman" w:eastAsia="宋体" w:hAnsi="Times New Roman"/>
      <w:b/>
      <w:bCs/>
      <w:szCs w:val="21"/>
    </w:rPr>
  </w:style>
  <w:style w:customStyle="1" w:styleId="Char8" w:type="paragraph">
    <w:name w:val="Char"/>
    <w:basedOn w:val="a"/>
    <w:uiPriority w:val="99"/>
    <w:rsid w:val="004061AC"/>
  </w:style>
  <w:style w:styleId="af2" w:type="paragraph">
    <w:name w:val="Document Map"/>
    <w:basedOn w:val="a"/>
    <w:link w:val="Char9"/>
    <w:uiPriority w:val="99"/>
    <w:semiHidden/>
    <w:rsid w:val="004061AC"/>
    <w:pPr>
      <w:shd w:color="auto" w:fill="000080" w:val="clear"/>
    </w:pPr>
  </w:style>
  <w:style w:customStyle="1" w:styleId="Char9" w:type="character">
    <w:name w:val="文档结构图 Char"/>
    <w:basedOn w:val="a1"/>
    <w:link w:val="af2"/>
    <w:uiPriority w:val="99"/>
    <w:semiHidden/>
    <w:rsid w:val="004061AC"/>
    <w:rPr>
      <w:rFonts w:ascii="Times New Roman" w:cs="Times New Roman" w:eastAsia="宋体" w:hAnsi="Times New Roman"/>
      <w:szCs w:val="21"/>
      <w:shd w:color="auto" w:fill="000080" w:val="clear"/>
    </w:rPr>
  </w:style>
  <w:style w:customStyle="1" w:styleId="af3" w:type="paragraph">
    <w:name w:val="正文 + (符号) 宋体"/>
    <w:aliases w:val="小四,紧缩量  0.2 磅"/>
    <w:basedOn w:val="a"/>
    <w:uiPriority w:val="99"/>
    <w:rsid w:val="004061AC"/>
    <w:pPr>
      <w:autoSpaceDE w:val="0"/>
      <w:autoSpaceDN w:val="0"/>
      <w:adjustRightInd w:val="0"/>
      <w:ind w:firstLine="1229" w:firstLineChars="512" w:right="1409" w:rightChars="671"/>
      <w:jc w:val="distribute"/>
    </w:pPr>
    <w:rPr>
      <w:sz w:val="24"/>
      <w:szCs w:val="24"/>
    </w:rPr>
  </w:style>
  <w:style w:styleId="af4" w:type="paragraph">
    <w:name w:val="footnote text"/>
    <w:basedOn w:val="a"/>
    <w:link w:val="Chara"/>
    <w:rsid w:val="004061AC"/>
    <w:pPr>
      <w:snapToGrid w:val="0"/>
      <w:jc w:val="left"/>
    </w:pPr>
    <w:rPr>
      <w:sz w:val="18"/>
      <w:szCs w:val="18"/>
    </w:rPr>
  </w:style>
  <w:style w:customStyle="1" w:styleId="Chara" w:type="character">
    <w:name w:val="脚注文本 Char"/>
    <w:basedOn w:val="a1"/>
    <w:link w:val="af4"/>
    <w:rsid w:val="004061AC"/>
    <w:rPr>
      <w:rFonts w:ascii="Times New Roman" w:cs="Times New Roman" w:eastAsia="宋体" w:hAnsi="Times New Roman"/>
      <w:sz w:val="18"/>
      <w:szCs w:val="18"/>
    </w:rPr>
  </w:style>
  <w:style w:styleId="af5" w:type="character">
    <w:name w:val="footnote reference"/>
    <w:basedOn w:val="a1"/>
    <w:rsid w:val="004061AC"/>
    <w:rPr>
      <w:vertAlign w:val="superscript"/>
    </w:rPr>
  </w:style>
  <w:style w:styleId="af6" w:type="paragraph">
    <w:name w:val="Normal (Web)"/>
    <w:basedOn w:val="a"/>
    <w:uiPriority w:val="99"/>
    <w:rsid w:val="004061AC"/>
    <w:pPr>
      <w:widowControl/>
      <w:spacing w:after="100" w:afterAutospacing="1" w:before="100" w:beforeAutospacing="1"/>
      <w:jc w:val="left"/>
    </w:pPr>
    <w:rPr>
      <w:rFonts w:ascii="宋体" w:cs="宋体" w:hAnsi="宋体"/>
      <w:kern w:val="0"/>
      <w:sz w:val="24"/>
      <w:szCs w:val="24"/>
    </w:rPr>
  </w:style>
  <w:style w:styleId="af7" w:type="table">
    <w:name w:val="Table Grid"/>
    <w:basedOn w:val="a2"/>
    <w:qFormat/>
    <w:rsid w:val="004061AC"/>
    <w:pPr>
      <w:widowControl w:val="0"/>
      <w:jc w:val="both"/>
    </w:pPr>
    <w:rPr>
      <w:rFonts w:ascii="Times New Roman" w:cs="Times New Roman" w:eastAsia="宋体" w:hAnsi="Times New Roman"/>
      <w:kern w:val="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Char10" w:type="paragraph">
    <w:name w:val="Char1"/>
    <w:basedOn w:val="a"/>
    <w:uiPriority w:val="99"/>
    <w:rsid w:val="004061AC"/>
  </w:style>
  <w:style w:customStyle="1" w:styleId="CharCharCharCharCharChar1CharCharChar" w:type="paragraph">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customStyle="1" w:styleId="CharCharCharCharCharChar1CharCharChar2" w:type="paragraph">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styleId="af8" w:type="paragraph">
    <w:name w:val="Title"/>
    <w:basedOn w:val="a"/>
    <w:next w:val="a"/>
    <w:link w:val="Charb"/>
    <w:uiPriority w:val="99"/>
    <w:qFormat/>
    <w:rsid w:val="004061AC"/>
    <w:pPr>
      <w:spacing w:after="60" w:before="240"/>
      <w:jc w:val="center"/>
      <w:outlineLvl w:val="0"/>
    </w:pPr>
    <w:rPr>
      <w:rFonts w:ascii="Cambria" w:cs="Cambria" w:hAnsi="Cambria"/>
      <w:b/>
      <w:bCs/>
      <w:sz w:val="32"/>
      <w:szCs w:val="32"/>
    </w:rPr>
  </w:style>
  <w:style w:customStyle="1" w:styleId="Charb" w:type="character">
    <w:name w:val="标题 Char"/>
    <w:basedOn w:val="a1"/>
    <w:link w:val="af8"/>
    <w:uiPriority w:val="99"/>
    <w:rsid w:val="004061AC"/>
    <w:rPr>
      <w:rFonts w:ascii="Cambria" w:cs="Cambria" w:eastAsia="宋体" w:hAnsi="Cambria"/>
      <w:b/>
      <w:bCs/>
      <w:sz w:val="32"/>
      <w:szCs w:val="32"/>
    </w:rPr>
  </w:style>
  <w:style w:customStyle="1" w:styleId="CharCharCharCharCharChar1CharCharChar1" w:type="paragraph">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styleId="af9" w:type="paragraph">
    <w:name w:val="No Spacing"/>
    <w:link w:val="Charc"/>
    <w:uiPriority w:val="1"/>
    <w:qFormat/>
    <w:rsid w:val="004061AC"/>
    <w:rPr>
      <w:rFonts w:ascii="Calibri" w:cs="Calibri" w:eastAsia="宋体" w:hAnsi="Calibri"/>
      <w:kern w:val="0"/>
      <w:sz w:val="22"/>
    </w:rPr>
  </w:style>
  <w:style w:customStyle="1" w:styleId="Charc" w:type="character">
    <w:name w:val="无间隔 Char"/>
    <w:basedOn w:val="a1"/>
    <w:link w:val="af9"/>
    <w:uiPriority w:val="1"/>
    <w:locked/>
    <w:rsid w:val="004061AC"/>
    <w:rPr>
      <w:rFonts w:ascii="Calibri" w:cs="Calibri" w:eastAsia="宋体" w:hAnsi="Calibri"/>
      <w:kern w:val="0"/>
      <w:sz w:val="22"/>
    </w:rPr>
  </w:style>
  <w:style w:customStyle="1" w:styleId="t1" w:type="character">
    <w:name w:val="t1"/>
    <w:basedOn w:val="a1"/>
    <w:uiPriority w:val="99"/>
    <w:rsid w:val="004061AC"/>
    <w:rPr>
      <w:color w:val="auto"/>
    </w:rPr>
  </w:style>
  <w:style w:styleId="afa" w:type="paragraph">
    <w:name w:val="List Paragraph"/>
    <w:basedOn w:val="a"/>
    <w:uiPriority w:val="34"/>
    <w:qFormat/>
    <w:rsid w:val="00154BE1"/>
    <w:pPr>
      <w:ind w:firstLine="420" w:firstLineChars="200"/>
    </w:pPr>
  </w:style>
  <w:style w:customStyle="1" w:styleId="Default" w:type="paragraph">
    <w:name w:val="Default"/>
    <w:rsid w:val="00275745"/>
    <w:pPr>
      <w:widowControl w:val="0"/>
      <w:autoSpaceDE w:val="0"/>
      <w:autoSpaceDN w:val="0"/>
      <w:adjustRightInd w:val="0"/>
    </w:pPr>
    <w:rPr>
      <w:rFonts w:ascii="FangSong" w:cs="FangSong" w:eastAsia="宋体" w:hAnsi="FangSong"/>
      <w:color w:val="000000"/>
      <w:kern w:val="0"/>
      <w:sz w:val="24"/>
      <w:szCs w:val="24"/>
    </w:rPr>
  </w:style>
  <w:style w:styleId="afb" w:type="character">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fontTable.xml" Type="http://schemas.openxmlformats.org/officeDocument/2006/relationships/fontTable"/>
<Relationship Id="rId16"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A34F0-22B9-46A2-A0CE-73A273E37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1824</TotalTime>
  <Pages>24</Pages>
  <Words>3807</Words>
  <Characters>21700</Characters>
  <Application>Microsoft Office Word</Application>
  <DocSecurity>0</DocSecurity>
  <Lines>180</Lines>
  <Paragraphs>50</Paragraphs>
  <ScaleCrop>false</ScaleCrop>
  <Company/>
  <LinksUpToDate>false</LinksUpToDate>
  <CharactersWithSpaces>25457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cp:lastModifiedBy>业务系统</cp:lastModifiedBy>
  <dcterms:modified xsi:type="dcterms:W3CDTF">2019-08-22T08:30:00Z</dcterms:modified>
  <cp:revision>597</cp:revision>
</cp:coreProperties>
</file>