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交银施罗德持续成长主题混合型证券投资基金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2019年第3季度报告</w:t>
      </w:r>
    </w:p>
    <w:p w:rsidP="00C15CAC" w:rsidR="004061AC" w:rsidRDefault="00655CD8" w:rsidRPr="0081286B">
      <w:pPr>
        <w:spacing w:before="29" w:line="288" w:lineRule="auto"/>
        <w:jc w:val="center"/>
        <w:rPr>
          <w:b/>
          <w:sz w:val="36"/>
          <w:szCs w:val="36"/>
        </w:rPr>
      </w:pPr>
      <w:r w:rsidRPr="0081286B">
        <w:rPr>
          <w:b/>
          <w:sz w:val="36"/>
          <w:szCs w:val="36"/>
        </w:rPr>
        <w:t>2019年9月30日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中国工商银行股份有限公司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二〇一九年十月二十二日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基金托管人中国工商银行股份有限公司根据本基金合同规定，于2019年10月21日复核了本报告中的财务指标、净值表现和投资组合报告等内容，保证复核内容不存在虚假记载、误导性陈述或者重大遗漏。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交银持续成长主题混合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005001</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005001</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2018年1月12日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2,580,877,743.30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本基金在有效控制组合风险并保持良好流动性的前提下，把握市场发展趋势，通过专业化研究分析，重点投资具备充分成长空间和拥有持续成长性的上市公司，力争实现基金资产的长期稳定增值。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评价，精选个股，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75%×沪深300指数收益率+25%×中证综合债券指数收益率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(2019年7月1日-2019年9月30日)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152,281,659.39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234,045,050.54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0.1245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3,282,217,275.02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1.2717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pPr>
        <w:autoSpaceDE w:val="0"/>
        <w:autoSpaceDN w:val="0"/>
        <w:adjustRightInd w:val="0"/>
        <w:spacing w:before="29" w:line="288" w:lineRule="auto"/>
        <w:jc w:val="left"/>
        <w:rPr>
          <w:color w:val="000000"/>
          <w:sz w:val="24"/>
          <w:szCs w:val="24"/>
        </w:rPr>
      </w:pPr>
      <w:r>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8.79%</w:t>
            </w:r>
          </w:p>
        </w:tc>
        <w:tc>
          <w:tcPr>
            <w:vAlign w:val="center"/>
          </w:tcPr>
          <w:p>
            <w:pPr>
              <w:jc w:val="center"/>
            </w:pPr>
            <w:r>
              <w:rPr>
                <w:color w:val="000000"/>
                <w:sz w:val="24"/>
                <w:szCs w:val="24"/>
              </w:rPr>
              <w:t>1.16%</w:t>
            </w:r>
          </w:p>
        </w:tc>
        <w:tc>
          <w:tcPr>
            <w:vAlign w:val="center"/>
          </w:tcPr>
          <w:p>
            <w:pPr>
              <w:jc w:val="center"/>
            </w:pPr>
            <w:r>
              <w:rPr>
                <w:color w:val="000000"/>
                <w:sz w:val="24"/>
                <w:szCs w:val="24"/>
              </w:rPr>
              <w:t>0.18%</w:t>
            </w:r>
          </w:p>
        </w:tc>
        <w:tc>
          <w:tcPr>
            <w:vAlign w:val="center"/>
          </w:tcPr>
          <w:p>
            <w:pPr>
              <w:jc w:val="center"/>
            </w:pPr>
            <w:r>
              <w:rPr>
                <w:color w:val="000000"/>
                <w:sz w:val="24"/>
                <w:szCs w:val="24"/>
              </w:rPr>
              <w:t>0.72%</w:t>
            </w:r>
          </w:p>
        </w:tc>
        <w:tc>
          <w:tcPr>
            <w:vAlign w:val="center"/>
          </w:tcPr>
          <w:p>
            <w:pPr>
              <w:jc w:val="center"/>
            </w:pPr>
            <w:r>
              <w:rPr>
                <w:color w:val="000000"/>
                <w:sz w:val="24"/>
                <w:szCs w:val="24"/>
              </w:rPr>
              <w:t>8.61%</w:t>
            </w:r>
          </w:p>
        </w:tc>
        <w:tc>
          <w:tcPr>
            <w:vAlign w:val="center"/>
          </w:tcPr>
          <w:p>
            <w:pPr>
              <w:jc w:val="center"/>
            </w:pPr>
            <w:r>
              <w:rPr>
                <w:color w:val="000000"/>
                <w:sz w:val="24"/>
                <w:szCs w:val="24"/>
              </w:rPr>
              <w:t>0.44%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交银施罗德持续成长主题混合型证券投资基金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2018年1月12日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何帅</w:t>
            </w:r>
          </w:p>
        </w:tc>
        <w:tc>
          <w:tcPr>
            <w:vAlign w:val="center"/>
          </w:tcPr>
          <w:p>
            <w:pPr>
              <w:jc w:val="center"/>
            </w:pPr>
            <w:r>
              <w:rPr>
                <w:color w:val="000000"/>
                <w:sz w:val="24"/>
                <w:szCs w:val="24"/>
              </w:rPr>
              <w:t>交银优势行业混合、交银阿尔法核心混合、交银持续成长主题混合的基金经理</w:t>
            </w:r>
          </w:p>
        </w:tc>
        <w:tc>
          <w:tcPr>
            <w:vAlign w:val="center"/>
          </w:tcPr>
          <w:p>
            <w:pPr>
              <w:jc w:val="center"/>
            </w:pPr>
            <w:r>
              <w:rPr>
                <w:color w:val="000000"/>
                <w:sz w:val="24"/>
                <w:szCs w:val="24"/>
              </w:rPr>
              <w:t>2018-01-12</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何帅先生，上海财经大学硕士。历任国联安基金管理有限公司研究员。2012年加入交银施罗德基金管理有限公司，历任行业分析师。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2019年三季度A股市场风险偏好明显回升。特别是市场对5G、进口芯片替代及自主可控关注较高，相关个股及行业获得了可观涨幅。</w:t>
      </w:r>
    </w:p>
    <w:p>
      <w:pPr>
        <w:spacing w:before="29" w:line="288" w:lineRule="auto"/>
        <w:ind w:firstLine="480" w:firstLineChars="200"/>
        <w:rPr>
          <w:color w:val="000000"/>
          <w:sz w:val="24"/>
          <w:szCs w:val="24"/>
        </w:rPr>
      </w:pPr>
      <w:r>
        <w:rPr>
          <w:color w:val="000000"/>
          <w:sz w:val="24"/>
          <w:szCs w:val="24"/>
        </w:rPr>
        <w:t>本基金在三季度跑赢业绩比较基准，主要原因是持仓结构偏向成长类，相关个股估值回升。</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流动性相对宽松，并其他大类资产预期回报较低的环境下，资本市场吸引力可能会缓慢显现。从三季度的情况，具体表现为两个方向，首先是未来具备明确成长机会的行业其估值可能大幅提升。其次是优质“核心资产”估值可能会稳定提升。我们希望通过前瞻性研究发现一些新的变化和未来成长性不错的行业，并通过深度研究发现更多优质资产，相关投资我们都会基于较好的安全边际，不参与估值可能泡沫化的公司或者行业。我们希望通过深度研究，找到需求可持续增长的行业，竞争力可持续拓宽的公司，享受公司价值的可持续成长，并希望以此能够持续为持有人获得超额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2,798,870,786.96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84.99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2,798,870,786.96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84.99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139,859,000.00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4.25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139,859,000.00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4.25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338,156,413.80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10.27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16,473,136.13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0.50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3,293,359,336.89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838,783,771.50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25.56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187,860,991.39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5.72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1,079,714,664.33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32.90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250,549,139.44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7.63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149,185,925.54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41,825,191.38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61,102,569.60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189,848,533.78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5.78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2,798,870,786.96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85.27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300365</w:t>
            </w:r>
          </w:p>
        </w:tc>
        <w:tc>
          <w:tcPr>
            <w:vAlign w:val="center"/>
          </w:tcPr>
          <w:p>
            <w:pPr>
              <w:jc w:val="center"/>
            </w:pPr>
            <w:r>
              <w:rPr>
                <w:color w:val="000000"/>
                <w:sz w:val="24"/>
                <w:szCs w:val="24"/>
              </w:rPr>
              <w:t>恒华科技</w:t>
            </w:r>
          </w:p>
        </w:tc>
        <w:tc>
          <w:tcPr>
            <w:vAlign w:val="center"/>
          </w:tcPr>
          <w:p>
            <w:pPr>
              <w:jc w:val="right"/>
            </w:pPr>
            <w:r>
              <w:rPr>
                <w:color w:val="000000"/>
                <w:sz w:val="24"/>
                <w:szCs w:val="24"/>
              </w:rPr>
              <w:t>12,387,111</w:t>
            </w:r>
          </w:p>
        </w:tc>
        <w:tc>
          <w:tcPr>
            <w:vAlign w:val="center"/>
          </w:tcPr>
          <w:p>
            <w:pPr>
              <w:jc w:val="right"/>
            </w:pPr>
            <w:r>
              <w:rPr>
                <w:color w:val="000000"/>
                <w:sz w:val="24"/>
                <w:szCs w:val="24"/>
              </w:rPr>
              <w:t>186,302,149.44</w:t>
            </w:r>
          </w:p>
        </w:tc>
        <w:tc>
          <w:tcPr>
            <w:vAlign w:val="center"/>
          </w:tcPr>
          <w:p>
            <w:pPr>
              <w:jc w:val="right"/>
            </w:pPr>
            <w:r>
              <w:rPr>
                <w:color w:val="000000"/>
                <w:sz w:val="24"/>
                <w:szCs w:val="24"/>
              </w:rPr>
              <w:t>5.68</w:t>
            </w:r>
          </w:p>
        </w:tc>
      </w:tr>
      <w:tr>
        <w:tc>
          <w:tcPr>
            <w:vAlign w:val="center"/>
          </w:tcPr>
          <w:p>
            <w:pPr>
              <w:jc w:val="center"/>
            </w:pPr>
            <w:r>
              <w:rPr>
                <w:color w:val="000000"/>
                <w:sz w:val="24"/>
                <w:szCs w:val="24"/>
              </w:rPr>
              <w:t>2</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10,128,393</w:t>
            </w:r>
          </w:p>
        </w:tc>
        <w:tc>
          <w:tcPr>
            <w:vAlign w:val="center"/>
          </w:tcPr>
          <w:p>
            <w:pPr>
              <w:jc w:val="right"/>
            </w:pPr>
            <w:r>
              <w:rPr>
                <w:color w:val="000000"/>
                <w:sz w:val="24"/>
                <w:szCs w:val="24"/>
              </w:rPr>
              <w:t>173,600,656.02</w:t>
            </w:r>
          </w:p>
        </w:tc>
        <w:tc>
          <w:tcPr>
            <w:vAlign w:val="center"/>
          </w:tcPr>
          <w:p>
            <w:pPr>
              <w:jc w:val="right"/>
            </w:pPr>
            <w:r>
              <w:rPr>
                <w:color w:val="000000"/>
                <w:sz w:val="24"/>
                <w:szCs w:val="24"/>
              </w:rPr>
              <w:t>5.29</w:t>
            </w:r>
          </w:p>
        </w:tc>
      </w:tr>
      <w:tr>
        <w:tc>
          <w:tcPr>
            <w:vAlign w:val="center"/>
          </w:tcPr>
          <w:p>
            <w:pPr>
              <w:jc w:val="center"/>
            </w:pPr>
            <w:r>
              <w:rPr>
                <w:color w:val="000000"/>
                <w:sz w:val="24"/>
                <w:szCs w:val="24"/>
              </w:rPr>
              <w:t>3</w:t>
            </w:r>
          </w:p>
        </w:tc>
        <w:tc>
          <w:tcPr>
            <w:vAlign w:val="center"/>
          </w:tcPr>
          <w:p>
            <w:pPr>
              <w:jc w:val="center"/>
            </w:pPr>
            <w:r>
              <w:rPr>
                <w:color w:val="000000"/>
                <w:sz w:val="24"/>
                <w:szCs w:val="24"/>
              </w:rPr>
              <w:t>300078</w:t>
            </w:r>
          </w:p>
        </w:tc>
        <w:tc>
          <w:tcPr>
            <w:vAlign w:val="center"/>
          </w:tcPr>
          <w:p>
            <w:pPr>
              <w:jc w:val="center"/>
            </w:pPr>
            <w:r>
              <w:rPr>
                <w:color w:val="000000"/>
                <w:sz w:val="24"/>
                <w:szCs w:val="24"/>
              </w:rPr>
              <w:t>思创医惠</w:t>
            </w:r>
          </w:p>
        </w:tc>
        <w:tc>
          <w:tcPr>
            <w:vAlign w:val="center"/>
          </w:tcPr>
          <w:p>
            <w:pPr>
              <w:jc w:val="right"/>
            </w:pPr>
            <w:r>
              <w:rPr>
                <w:color w:val="000000"/>
                <w:sz w:val="24"/>
                <w:szCs w:val="24"/>
              </w:rPr>
              <w:t>14,394,604</w:t>
            </w:r>
          </w:p>
        </w:tc>
        <w:tc>
          <w:tcPr>
            <w:vAlign w:val="center"/>
          </w:tcPr>
          <w:p>
            <w:pPr>
              <w:jc w:val="right"/>
            </w:pPr>
            <w:r>
              <w:rPr>
                <w:color w:val="000000"/>
                <w:sz w:val="24"/>
                <w:szCs w:val="24"/>
              </w:rPr>
              <w:t>169,568,435.12</w:t>
            </w:r>
          </w:p>
        </w:tc>
        <w:tc>
          <w:tcPr>
            <w:vAlign w:val="center"/>
          </w:tcPr>
          <w:p>
            <w:pPr>
              <w:jc w:val="right"/>
            </w:pPr>
            <w:r>
              <w:rPr>
                <w:color w:val="000000"/>
                <w:sz w:val="24"/>
                <w:szCs w:val="24"/>
              </w:rPr>
              <w:t>5.17</w:t>
            </w:r>
          </w:p>
        </w:tc>
      </w:tr>
      <w:tr>
        <w:tc>
          <w:tcPr>
            <w:vAlign w:val="center"/>
          </w:tcPr>
          <w:p>
            <w:pPr>
              <w:jc w:val="center"/>
            </w:pPr>
            <w:r>
              <w:rPr>
                <w:color w:val="000000"/>
                <w:sz w:val="24"/>
                <w:szCs w:val="24"/>
              </w:rPr>
              <w:t>4</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6,578,515</w:t>
            </w:r>
          </w:p>
        </w:tc>
        <w:tc>
          <w:tcPr>
            <w:vAlign w:val="center"/>
          </w:tcPr>
          <w:p>
            <w:pPr>
              <w:jc w:val="right"/>
            </w:pPr>
            <w:r>
              <w:rPr>
                <w:color w:val="000000"/>
                <w:sz w:val="24"/>
                <w:szCs w:val="24"/>
              </w:rPr>
              <w:t>153,410,969.80</w:t>
            </w:r>
          </w:p>
        </w:tc>
        <w:tc>
          <w:tcPr>
            <w:vAlign w:val="center"/>
          </w:tcPr>
          <w:p>
            <w:pPr>
              <w:jc w:val="right"/>
            </w:pPr>
            <w:r>
              <w:rPr>
                <w:color w:val="000000"/>
                <w:sz w:val="24"/>
                <w:szCs w:val="24"/>
              </w:rPr>
              <w:t>4.67</w:t>
            </w:r>
          </w:p>
        </w:tc>
      </w:tr>
      <w:tr>
        <w:tc>
          <w:tcPr>
            <w:vAlign w:val="center"/>
          </w:tcPr>
          <w:p>
            <w:pPr>
              <w:jc w:val="center"/>
            </w:pPr>
            <w:r>
              <w:rPr>
                <w:color w:val="000000"/>
                <w:sz w:val="24"/>
                <w:szCs w:val="24"/>
              </w:rPr>
              <w:t>5</w:t>
            </w:r>
          </w:p>
        </w:tc>
        <w:tc>
          <w:tcPr>
            <w:vAlign w:val="center"/>
          </w:tcPr>
          <w:p>
            <w:pPr>
              <w:jc w:val="center"/>
            </w:pPr>
            <w:r>
              <w:rPr>
                <w:color w:val="000000"/>
                <w:sz w:val="24"/>
                <w:szCs w:val="24"/>
              </w:rPr>
              <w:t>300271</w:t>
            </w:r>
          </w:p>
        </w:tc>
        <w:tc>
          <w:tcPr>
            <w:vAlign w:val="center"/>
          </w:tcPr>
          <w:p>
            <w:pPr>
              <w:jc w:val="center"/>
            </w:pPr>
            <w:r>
              <w:rPr>
                <w:color w:val="000000"/>
                <w:sz w:val="24"/>
                <w:szCs w:val="24"/>
              </w:rPr>
              <w:t>华宇软件</w:t>
            </w:r>
          </w:p>
        </w:tc>
        <w:tc>
          <w:tcPr>
            <w:vAlign w:val="center"/>
          </w:tcPr>
          <w:p>
            <w:pPr>
              <w:jc w:val="right"/>
            </w:pPr>
            <w:r>
              <w:rPr>
                <w:color w:val="000000"/>
                <w:sz w:val="24"/>
                <w:szCs w:val="24"/>
              </w:rPr>
              <w:t>6,915,259</w:t>
            </w:r>
          </w:p>
        </w:tc>
        <w:tc>
          <w:tcPr>
            <w:vAlign w:val="center"/>
          </w:tcPr>
          <w:p>
            <w:pPr>
              <w:jc w:val="right"/>
            </w:pPr>
            <w:r>
              <w:rPr>
                <w:color w:val="000000"/>
                <w:sz w:val="24"/>
                <w:szCs w:val="24"/>
              </w:rPr>
              <w:t>150,406,883.25</w:t>
            </w:r>
          </w:p>
        </w:tc>
        <w:tc>
          <w:tcPr>
            <w:vAlign w:val="center"/>
          </w:tcPr>
          <w:p>
            <w:pPr>
              <w:jc w:val="right"/>
            </w:pPr>
            <w:r>
              <w:rPr>
                <w:color w:val="000000"/>
                <w:sz w:val="24"/>
                <w:szCs w:val="24"/>
              </w:rPr>
              <w:t>4.58</w:t>
            </w:r>
          </w:p>
        </w:tc>
      </w:tr>
      <w:tr>
        <w:tc>
          <w:tcPr>
            <w:vAlign w:val="center"/>
          </w:tcPr>
          <w:p>
            <w:pPr>
              <w:jc w:val="center"/>
            </w:pPr>
            <w:r>
              <w:rPr>
                <w:color w:val="000000"/>
                <w:sz w:val="24"/>
                <w:szCs w:val="24"/>
              </w:rPr>
              <w:t>6</w:t>
            </w:r>
          </w:p>
        </w:tc>
        <w:tc>
          <w:tcPr>
            <w:vAlign w:val="center"/>
          </w:tcPr>
          <w:p>
            <w:pPr>
              <w:jc w:val="center"/>
            </w:pPr>
            <w:r>
              <w:rPr>
                <w:color w:val="000000"/>
                <w:sz w:val="24"/>
                <w:szCs w:val="24"/>
              </w:rPr>
              <w:t>600030</w:t>
            </w:r>
          </w:p>
        </w:tc>
        <w:tc>
          <w:tcPr>
            <w:vAlign w:val="center"/>
          </w:tcPr>
          <w:p>
            <w:pPr>
              <w:jc w:val="center"/>
            </w:pPr>
            <w:r>
              <w:rPr>
                <w:color w:val="000000"/>
                <w:sz w:val="24"/>
                <w:szCs w:val="24"/>
              </w:rPr>
              <w:t>中信证券</w:t>
            </w:r>
          </w:p>
        </w:tc>
        <w:tc>
          <w:tcPr>
            <w:vAlign w:val="center"/>
          </w:tcPr>
          <w:p>
            <w:pPr>
              <w:jc w:val="right"/>
            </w:pPr>
            <w:r>
              <w:rPr>
                <w:color w:val="000000"/>
                <w:sz w:val="24"/>
                <w:szCs w:val="24"/>
              </w:rPr>
              <w:t>5,555,173</w:t>
            </w:r>
          </w:p>
        </w:tc>
        <w:tc>
          <w:tcPr>
            <w:vAlign w:val="center"/>
          </w:tcPr>
          <w:p>
            <w:pPr>
              <w:jc w:val="right"/>
            </w:pPr>
            <w:r>
              <w:rPr>
                <w:color w:val="000000"/>
                <w:sz w:val="24"/>
                <w:szCs w:val="24"/>
              </w:rPr>
              <w:t>124,880,289.04</w:t>
            </w:r>
          </w:p>
        </w:tc>
        <w:tc>
          <w:tcPr>
            <w:vAlign w:val="center"/>
          </w:tcPr>
          <w:p>
            <w:pPr>
              <w:jc w:val="right"/>
            </w:pPr>
            <w:r>
              <w:rPr>
                <w:color w:val="000000"/>
                <w:sz w:val="24"/>
                <w:szCs w:val="24"/>
              </w:rPr>
              <w:t>3.80</w:t>
            </w:r>
          </w:p>
        </w:tc>
      </w:tr>
      <w:tr>
        <w:tc>
          <w:tcPr>
            <w:vAlign w:val="center"/>
          </w:tcPr>
          <w:p>
            <w:pPr>
              <w:jc w:val="center"/>
            </w:pPr>
            <w:r>
              <w:rPr>
                <w:color w:val="000000"/>
                <w:sz w:val="24"/>
                <w:szCs w:val="24"/>
              </w:rPr>
              <w:t>7</w:t>
            </w:r>
          </w:p>
        </w:tc>
        <w:tc>
          <w:tcPr>
            <w:vAlign w:val="center"/>
          </w:tcPr>
          <w:p>
            <w:pPr>
              <w:jc w:val="center"/>
            </w:pPr>
            <w:r>
              <w:rPr>
                <w:color w:val="000000"/>
                <w:sz w:val="24"/>
                <w:szCs w:val="24"/>
              </w:rPr>
              <w:t>000501</w:t>
            </w:r>
          </w:p>
        </w:tc>
        <w:tc>
          <w:tcPr>
            <w:vAlign w:val="center"/>
          </w:tcPr>
          <w:p>
            <w:pPr>
              <w:jc w:val="center"/>
            </w:pPr>
            <w:r>
              <w:rPr>
                <w:color w:val="000000"/>
                <w:sz w:val="24"/>
                <w:szCs w:val="24"/>
              </w:rPr>
              <w:t>鄂武商A</w:t>
            </w:r>
          </w:p>
        </w:tc>
        <w:tc>
          <w:tcPr>
            <w:vAlign w:val="center"/>
          </w:tcPr>
          <w:p>
            <w:pPr>
              <w:jc w:val="right"/>
            </w:pPr>
            <w:r>
              <w:rPr>
                <w:color w:val="000000"/>
                <w:sz w:val="24"/>
                <w:szCs w:val="24"/>
              </w:rPr>
              <w:t>11,350,098</w:t>
            </w:r>
          </w:p>
        </w:tc>
        <w:tc>
          <w:tcPr>
            <w:vAlign w:val="center"/>
          </w:tcPr>
          <w:p>
            <w:pPr>
              <w:jc w:val="right"/>
            </w:pPr>
            <w:r>
              <w:rPr>
                <w:color w:val="000000"/>
                <w:sz w:val="24"/>
                <w:szCs w:val="24"/>
              </w:rPr>
              <w:t>114,749,490.78</w:t>
            </w:r>
          </w:p>
        </w:tc>
        <w:tc>
          <w:tcPr>
            <w:vAlign w:val="center"/>
          </w:tcPr>
          <w:p>
            <w:pPr>
              <w:jc w:val="right"/>
            </w:pPr>
            <w:r>
              <w:rPr>
                <w:color w:val="000000"/>
                <w:sz w:val="24"/>
                <w:szCs w:val="24"/>
              </w:rPr>
              <w:t>3.50</w:t>
            </w:r>
          </w:p>
        </w:tc>
      </w:tr>
      <w:tr>
        <w:tc>
          <w:tcPr>
            <w:vAlign w:val="center"/>
          </w:tcPr>
          <w:p>
            <w:pPr>
              <w:jc w:val="center"/>
            </w:pPr>
            <w:r>
              <w:rPr>
                <w:color w:val="000000"/>
                <w:sz w:val="24"/>
                <w:szCs w:val="24"/>
              </w:rPr>
              <w:t>8</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6,150,013</w:t>
            </w:r>
          </w:p>
        </w:tc>
        <w:tc>
          <w:tcPr>
            <w:vAlign w:val="center"/>
          </w:tcPr>
          <w:p>
            <w:pPr>
              <w:jc w:val="right"/>
            </w:pPr>
            <w:r>
              <w:rPr>
                <w:color w:val="000000"/>
                <w:sz w:val="24"/>
                <w:szCs w:val="24"/>
              </w:rPr>
              <w:t>110,319,234.39</w:t>
            </w:r>
          </w:p>
        </w:tc>
        <w:tc>
          <w:tcPr>
            <w:vAlign w:val="center"/>
          </w:tcPr>
          <w:p>
            <w:pPr>
              <w:jc w:val="right"/>
            </w:pPr>
            <w:r>
              <w:rPr>
                <w:color w:val="000000"/>
                <w:sz w:val="24"/>
                <w:szCs w:val="24"/>
              </w:rPr>
              <w:t>3.36</w:t>
            </w:r>
          </w:p>
        </w:tc>
      </w:tr>
      <w:tr>
        <w:tc>
          <w:tcPr>
            <w:vAlign w:val="center"/>
          </w:tcPr>
          <w:p>
            <w:pPr>
              <w:jc w:val="center"/>
            </w:pPr>
            <w:r>
              <w:rPr>
                <w:color w:val="000000"/>
                <w:sz w:val="24"/>
                <w:szCs w:val="24"/>
              </w:rPr>
              <w:t>9</w:t>
            </w:r>
          </w:p>
        </w:tc>
        <w:tc>
          <w:tcPr>
            <w:vAlign w:val="center"/>
          </w:tcPr>
          <w:p>
            <w:pPr>
              <w:jc w:val="center"/>
            </w:pPr>
            <w:r>
              <w:rPr>
                <w:color w:val="000000"/>
                <w:sz w:val="24"/>
                <w:szCs w:val="24"/>
              </w:rPr>
              <w:t>000961</w:t>
            </w:r>
          </w:p>
        </w:tc>
        <w:tc>
          <w:tcPr>
            <w:vAlign w:val="center"/>
          </w:tcPr>
          <w:p>
            <w:pPr>
              <w:jc w:val="center"/>
            </w:pPr>
            <w:r>
              <w:rPr>
                <w:color w:val="000000"/>
                <w:sz w:val="24"/>
                <w:szCs w:val="24"/>
              </w:rPr>
              <w:t>中南建设</w:t>
            </w:r>
          </w:p>
        </w:tc>
        <w:tc>
          <w:tcPr>
            <w:vAlign w:val="center"/>
          </w:tcPr>
          <w:p>
            <w:pPr>
              <w:jc w:val="right"/>
            </w:pPr>
            <w:r>
              <w:rPr>
                <w:color w:val="000000"/>
                <w:sz w:val="24"/>
                <w:szCs w:val="24"/>
              </w:rPr>
              <w:t>11,811,184</w:t>
            </w:r>
          </w:p>
        </w:tc>
        <w:tc>
          <w:tcPr>
            <w:vAlign w:val="center"/>
          </w:tcPr>
          <w:p>
            <w:pPr>
              <w:jc w:val="right"/>
            </w:pPr>
            <w:r>
              <w:rPr>
                <w:color w:val="000000"/>
                <w:sz w:val="24"/>
                <w:szCs w:val="24"/>
              </w:rPr>
              <w:t>91,654,787.84</w:t>
            </w:r>
          </w:p>
        </w:tc>
        <w:tc>
          <w:tcPr>
            <w:vAlign w:val="center"/>
          </w:tcPr>
          <w:p>
            <w:pPr>
              <w:jc w:val="right"/>
            </w:pPr>
            <w:r>
              <w:rPr>
                <w:color w:val="000000"/>
                <w:sz w:val="24"/>
                <w:szCs w:val="24"/>
              </w:rPr>
              <w:t>2.79</w:t>
            </w:r>
          </w:p>
        </w:tc>
      </w:tr>
      <w:tr>
        <w:tc>
          <w:tcPr>
            <w:vAlign w:val="center"/>
          </w:tcPr>
          <w:p>
            <w:pPr>
              <w:jc w:val="center"/>
            </w:pPr>
            <w:r>
              <w:rPr>
                <w:color w:val="000000"/>
                <w:sz w:val="24"/>
                <w:szCs w:val="24"/>
              </w:rPr>
              <w:t>10</w:t>
            </w:r>
          </w:p>
        </w:tc>
        <w:tc>
          <w:tcPr>
            <w:vAlign w:val="center"/>
          </w:tcPr>
          <w:p>
            <w:pPr>
              <w:jc w:val="center"/>
            </w:pPr>
            <w:r>
              <w:rPr>
                <w:color w:val="000000"/>
                <w:sz w:val="24"/>
                <w:szCs w:val="24"/>
              </w:rPr>
              <w:t>002439</w:t>
            </w:r>
          </w:p>
        </w:tc>
        <w:tc>
          <w:tcPr>
            <w:vAlign w:val="center"/>
          </w:tcPr>
          <w:p>
            <w:pPr>
              <w:jc w:val="center"/>
            </w:pPr>
            <w:r>
              <w:rPr>
                <w:color w:val="000000"/>
                <w:sz w:val="24"/>
                <w:szCs w:val="24"/>
              </w:rPr>
              <w:t>启明星辰</w:t>
            </w:r>
          </w:p>
        </w:tc>
        <w:tc>
          <w:tcPr>
            <w:vAlign w:val="center"/>
          </w:tcPr>
          <w:p>
            <w:pPr>
              <w:jc w:val="right"/>
            </w:pPr>
            <w:r>
              <w:rPr>
                <w:color w:val="000000"/>
                <w:sz w:val="24"/>
                <w:szCs w:val="24"/>
              </w:rPr>
              <w:t>2,823,476</w:t>
            </w:r>
          </w:p>
        </w:tc>
        <w:tc>
          <w:tcPr>
            <w:vAlign w:val="center"/>
          </w:tcPr>
          <w:p>
            <w:pPr>
              <w:jc w:val="right"/>
            </w:pPr>
            <w:r>
              <w:rPr>
                <w:color w:val="000000"/>
                <w:sz w:val="24"/>
                <w:szCs w:val="24"/>
              </w:rPr>
              <w:t>90,294,762.48</w:t>
            </w:r>
          </w:p>
        </w:tc>
        <w:tc>
          <w:tcPr>
            <w:vAlign w:val="center"/>
          </w:tcPr>
          <w:p>
            <w:pPr>
              <w:jc w:val="right"/>
            </w:pPr>
            <w:r>
              <w:rPr>
                <w:color w:val="000000"/>
                <w:sz w:val="24"/>
                <w:szCs w:val="24"/>
              </w:rPr>
              <w:t>2.75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139,859,000.00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4.26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139,859,000.00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4.26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139,859,000.00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4.26</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190405</w:t>
            </w:r>
          </w:p>
        </w:tc>
        <w:tc>
          <w:tcPr>
            <w:vAlign w:val="center"/>
          </w:tcPr>
          <w:p>
            <w:pPr>
              <w:jc w:val="center"/>
            </w:pPr>
            <w:r>
              <w:rPr>
                <w:color w:val="000000"/>
                <w:sz w:val="24"/>
                <w:szCs w:val="24"/>
              </w:rPr>
              <w:t>19农发05</w:t>
            </w:r>
          </w:p>
        </w:tc>
        <w:tc>
          <w:tcPr>
            <w:vAlign w:val="center"/>
          </w:tcPr>
          <w:p>
            <w:pPr>
              <w:jc w:val="right"/>
            </w:pPr>
            <w:r>
              <w:rPr>
                <w:color w:val="000000"/>
                <w:sz w:val="24"/>
                <w:szCs w:val="24"/>
              </w:rPr>
              <w:t>900,000</w:t>
            </w:r>
          </w:p>
        </w:tc>
        <w:tc>
          <w:tcPr>
            <w:vAlign w:val="center"/>
          </w:tcPr>
          <w:p>
            <w:pPr>
              <w:jc w:val="right"/>
            </w:pPr>
            <w:r>
              <w:rPr>
                <w:color w:val="000000"/>
                <w:sz w:val="24"/>
                <w:szCs w:val="24"/>
              </w:rPr>
              <w:t>89,874,000.00</w:t>
            </w:r>
          </w:p>
        </w:tc>
        <w:tc>
          <w:tcPr>
            <w:vAlign w:val="center"/>
          </w:tcPr>
          <w:p>
            <w:pPr>
              <w:jc w:val="right"/>
            </w:pPr>
            <w:r>
              <w:rPr>
                <w:color w:val="000000"/>
                <w:sz w:val="24"/>
                <w:szCs w:val="24"/>
              </w:rPr>
              <w:t>2.74</w:t>
            </w:r>
          </w:p>
        </w:tc>
      </w:tr>
      <w:tr>
        <w:tc>
          <w:tcPr>
            <w:vAlign w:val="center"/>
          </w:tcPr>
          <w:p>
            <w:pPr>
              <w:jc w:val="center"/>
            </w:pPr>
            <w:r>
              <w:rPr>
                <w:color w:val="000000"/>
                <w:sz w:val="24"/>
                <w:szCs w:val="24"/>
              </w:rPr>
              <w:t>2</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500,000</w:t>
            </w:r>
          </w:p>
        </w:tc>
        <w:tc>
          <w:tcPr>
            <w:vAlign w:val="center"/>
          </w:tcPr>
          <w:p>
            <w:pPr>
              <w:jc w:val="right"/>
            </w:pPr>
            <w:r>
              <w:rPr>
                <w:color w:val="000000"/>
                <w:sz w:val="24"/>
                <w:szCs w:val="24"/>
              </w:rPr>
              <w:t>49,985,000.00</w:t>
            </w:r>
          </w:p>
        </w:tc>
        <w:tc>
          <w:tcPr>
            <w:vAlign w:val="center"/>
          </w:tcPr>
          <w:p>
            <w:pPr>
              <w:jc w:val="right"/>
            </w:pPr>
            <w:r>
              <w:rPr>
                <w:color w:val="000000"/>
                <w:sz w:val="24"/>
                <w:szCs w:val="24"/>
              </w:rPr>
              <w:t>1.52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755,250.14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13,317,503.30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1,285,225.43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1,115,157.26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16,473,136.13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11,154,000.00</w:t>
            </w:r>
          </w:p>
        </w:tc>
        <w:tc>
          <w:tcPr>
            <w:vAlign w:val="center"/>
          </w:tcPr>
          <w:p>
            <w:pPr>
              <w:jc w:val="right"/>
            </w:pPr>
            <w:r>
              <w:rPr>
                <w:color w:val="000000"/>
                <w:sz w:val="24"/>
                <w:szCs w:val="24"/>
              </w:rPr>
              <w:t>0.34</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1,443,281,161.81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1,402,461,211.54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264,864,630.05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2,580,877,743.30</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2019/7/1-2019/9/30</w:t>
            </w:r>
          </w:p>
        </w:tc>
        <w:tc>
          <w:tcPr>
            <w:vAlign w:val="center"/>
          </w:tcPr>
          <w:p>
            <w:pPr>
              <w:jc w:val="center"/>
            </w:pPr>
            <w:r>
              <w:rPr>
                <w:rFonts w:ascii="宋体" w:hAnsi="宋体"/>
                <w:color w:val="000000"/>
                <w:kern w:val="0"/>
              </w:rPr>
              <w:t>110,583,728.28</w:t>
            </w:r>
          </w:p>
        </w:tc>
        <w:tc>
          <w:tcPr>
            <w:vAlign w:val="center"/>
          </w:tcPr>
          <w:p>
            <w:pPr>
              <w:jc w:val="center"/>
            </w:pPr>
            <w:r>
              <w:rPr>
                <w:rFonts w:ascii="宋体" w:hAnsi="宋体"/>
                <w:color w:val="000000"/>
                <w:kern w:val="0"/>
              </w:rPr>
              <w:t>432,966,221.12</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543,549,949.40</w:t>
            </w:r>
          </w:p>
        </w:tc>
        <w:tc>
          <w:tcPr>
            <w:vAlign w:val="center"/>
          </w:tcPr>
          <w:p>
            <w:pPr>
              <w:jc w:val="center"/>
            </w:pPr>
            <w:r>
              <w:rPr>
                <w:rFonts w:ascii="宋体" w:hAnsi="宋体"/>
                <w:color w:val="000000"/>
                <w:kern w:val="0"/>
              </w:rPr>
              <w:t>21.06%</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1、中国证监会准予交银施罗德持续成长主题混合型证券投资基金募集注册的文件；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2、《交银施罗德持续成长主题混合型证券投资基金基金合同》；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3、《交银施罗德持续成长主题混合型证券投资基金招募说明书》；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4、《交银施罗德持续成长主题混合型证券投资基金托管协议》；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5、关于申请募集注册交银施罗德持续成长主题混合型证券投资基金的法律意见书；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8、报告期内交银施罗德持续成长主题混合型证券投资基金在指定报刊上各项公告的原稿。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交银施罗德持续成长主题混合型证券投资基金2019年第3季度报告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