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2019</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2019</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二〇一九年十月二十二日</w:t>
      </w:r>
    </w:p>
    <w:p w:rsidR="00220542" w:rsidRPr="00324C76" w:rsidRDefault="00220542" w:rsidP="00F6209F">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A22B62" w:rsidRDefault="00F6209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22B62" w:rsidRDefault="00F6209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10</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22B62" w:rsidRDefault="00F6209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w:t>
      </w:r>
      <w:r>
        <w:rPr>
          <w:color w:val="000000"/>
          <w:sz w:val="24"/>
        </w:rPr>
        <w:t xml:space="preserve"> </w:t>
      </w:r>
    </w:p>
    <w:p w:rsidR="00A22B62" w:rsidRDefault="00F6209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22B62" w:rsidRDefault="00F6209F">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2019</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F6209F">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41,706,801.66</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F6209F">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5261"/>
      </w:tblGrid>
      <w:tr w:rsidR="00F6209F" w:rsidRPr="00324C76" w:rsidTr="00F6209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-2019</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F6209F" w:rsidRPr="00324C76" w:rsidTr="00F6209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1,654,941.71</w:t>
            </w:r>
          </w:p>
        </w:tc>
      </w:tr>
      <w:tr w:rsidR="00F6209F" w:rsidRPr="00324C76" w:rsidTr="00F6209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712,489.96</w:t>
            </w:r>
          </w:p>
        </w:tc>
      </w:tr>
      <w:tr w:rsidR="00F6209F" w:rsidRPr="00324C76" w:rsidTr="00F6209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0.0161</w:t>
            </w:r>
          </w:p>
        </w:tc>
      </w:tr>
      <w:tr w:rsidR="00F6209F" w:rsidRPr="00324C76" w:rsidTr="00F6209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72,528,756.82</w:t>
            </w:r>
          </w:p>
        </w:tc>
      </w:tr>
      <w:tr w:rsidR="00F6209F" w:rsidRPr="00324C76" w:rsidTr="00F6209F">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1.739</w:t>
            </w:r>
          </w:p>
        </w:tc>
      </w:tr>
    </w:tbl>
    <w:p w:rsidR="00A22B62" w:rsidRDefault="00F6209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A22B62">
        <w:trPr>
          <w:jc w:val="center"/>
        </w:trPr>
        <w:tc>
          <w:tcPr>
            <w:tcW w:w="1469" w:type="dxa"/>
            <w:vAlign w:val="center"/>
          </w:tcPr>
          <w:p w:rsidR="00A22B62" w:rsidRDefault="00F6209F">
            <w:pPr>
              <w:jc w:val="left"/>
            </w:pPr>
            <w:r>
              <w:rPr>
                <w:color w:val="000000"/>
                <w:sz w:val="24"/>
              </w:rPr>
              <w:t>过去三个月</w:t>
            </w:r>
          </w:p>
        </w:tc>
        <w:tc>
          <w:tcPr>
            <w:tcW w:w="1150" w:type="dxa"/>
            <w:vAlign w:val="center"/>
          </w:tcPr>
          <w:p w:rsidR="00A22B62" w:rsidRDefault="00F6209F">
            <w:pPr>
              <w:jc w:val="center"/>
            </w:pPr>
            <w:r>
              <w:rPr>
                <w:color w:val="000000"/>
                <w:sz w:val="24"/>
              </w:rPr>
              <w:t>0.75%</w:t>
            </w:r>
          </w:p>
        </w:tc>
        <w:tc>
          <w:tcPr>
            <w:tcW w:w="1223" w:type="dxa"/>
            <w:vAlign w:val="center"/>
          </w:tcPr>
          <w:p w:rsidR="00A22B62" w:rsidRDefault="00F6209F">
            <w:pPr>
              <w:jc w:val="center"/>
            </w:pPr>
            <w:r>
              <w:rPr>
                <w:color w:val="000000"/>
                <w:sz w:val="24"/>
              </w:rPr>
              <w:t>1.02%</w:t>
            </w:r>
          </w:p>
        </w:tc>
        <w:tc>
          <w:tcPr>
            <w:tcW w:w="1244" w:type="dxa"/>
            <w:vAlign w:val="center"/>
          </w:tcPr>
          <w:p w:rsidR="00A22B62" w:rsidRDefault="00F6209F">
            <w:pPr>
              <w:jc w:val="center"/>
            </w:pPr>
            <w:r>
              <w:rPr>
                <w:color w:val="000000"/>
                <w:sz w:val="24"/>
              </w:rPr>
              <w:t>-0.02%</w:t>
            </w:r>
          </w:p>
        </w:tc>
        <w:tc>
          <w:tcPr>
            <w:tcW w:w="1251" w:type="dxa"/>
            <w:vAlign w:val="center"/>
          </w:tcPr>
          <w:p w:rsidR="00A22B62" w:rsidRDefault="00F6209F">
            <w:pPr>
              <w:jc w:val="center"/>
            </w:pPr>
            <w:r>
              <w:rPr>
                <w:color w:val="000000"/>
                <w:sz w:val="24"/>
              </w:rPr>
              <w:t>1.04%</w:t>
            </w:r>
          </w:p>
        </w:tc>
        <w:tc>
          <w:tcPr>
            <w:tcW w:w="1263" w:type="dxa"/>
            <w:vAlign w:val="center"/>
          </w:tcPr>
          <w:p w:rsidR="00A22B62" w:rsidRDefault="00F6209F">
            <w:pPr>
              <w:jc w:val="center"/>
            </w:pPr>
            <w:r>
              <w:rPr>
                <w:color w:val="000000"/>
                <w:sz w:val="24"/>
              </w:rPr>
              <w:t>0.77%</w:t>
            </w:r>
          </w:p>
        </w:tc>
        <w:tc>
          <w:tcPr>
            <w:tcW w:w="1268" w:type="dxa"/>
            <w:vAlign w:val="center"/>
          </w:tcPr>
          <w:p w:rsidR="00A22B62" w:rsidRDefault="00F6209F">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lastRenderedPageBreak/>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F6209F">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A22B62">
        <w:trPr>
          <w:jc w:val="center"/>
        </w:trPr>
        <w:tc>
          <w:tcPr>
            <w:tcW w:w="846" w:type="dxa"/>
            <w:vAlign w:val="center"/>
          </w:tcPr>
          <w:p w:rsidR="00A22B62" w:rsidRDefault="00F6209F">
            <w:pPr>
              <w:jc w:val="center"/>
            </w:pPr>
            <w:r>
              <w:rPr>
                <w:color w:val="000000"/>
                <w:sz w:val="24"/>
              </w:rPr>
              <w:t>蔡铮</w:t>
            </w:r>
          </w:p>
        </w:tc>
        <w:tc>
          <w:tcPr>
            <w:tcW w:w="845" w:type="dxa"/>
            <w:vAlign w:val="center"/>
          </w:tcPr>
          <w:p w:rsidR="00A22B62" w:rsidRDefault="00F6209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w:t>
            </w:r>
            <w:r>
              <w:rPr>
                <w:color w:val="000000"/>
                <w:sz w:val="24"/>
              </w:rPr>
              <w:lastRenderedPageBreak/>
              <w:t>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w:t>
            </w:r>
            <w:r>
              <w:rPr>
                <w:color w:val="000000"/>
                <w:sz w:val="24"/>
              </w:rPr>
              <w:lastRenderedPageBreak/>
              <w:t>监</w:t>
            </w:r>
          </w:p>
        </w:tc>
        <w:tc>
          <w:tcPr>
            <w:tcW w:w="1549" w:type="dxa"/>
            <w:vAlign w:val="center"/>
          </w:tcPr>
          <w:p w:rsidR="00A22B62" w:rsidRDefault="00F6209F">
            <w:pPr>
              <w:jc w:val="center"/>
            </w:pPr>
            <w:r>
              <w:rPr>
                <w:color w:val="000000"/>
                <w:sz w:val="24"/>
              </w:rPr>
              <w:lastRenderedPageBreak/>
              <w:t>2012-12-27</w:t>
            </w:r>
          </w:p>
        </w:tc>
        <w:tc>
          <w:tcPr>
            <w:tcW w:w="1548" w:type="dxa"/>
            <w:vAlign w:val="center"/>
          </w:tcPr>
          <w:p w:rsidR="00A22B62" w:rsidRDefault="00F6209F">
            <w:pPr>
              <w:jc w:val="center"/>
            </w:pPr>
            <w:r>
              <w:rPr>
                <w:color w:val="000000"/>
                <w:sz w:val="24"/>
              </w:rPr>
              <w:t>-</w:t>
            </w:r>
          </w:p>
        </w:tc>
        <w:tc>
          <w:tcPr>
            <w:tcW w:w="1407" w:type="dxa"/>
            <w:vAlign w:val="center"/>
          </w:tcPr>
          <w:p w:rsidR="00A22B62" w:rsidRDefault="00F6209F">
            <w:pPr>
              <w:jc w:val="center"/>
            </w:pPr>
            <w:r>
              <w:rPr>
                <w:color w:val="000000"/>
                <w:sz w:val="24"/>
              </w:rPr>
              <w:t>10</w:t>
            </w:r>
            <w:r>
              <w:rPr>
                <w:color w:val="000000"/>
                <w:sz w:val="24"/>
              </w:rPr>
              <w:t>年</w:t>
            </w:r>
          </w:p>
        </w:tc>
        <w:tc>
          <w:tcPr>
            <w:tcW w:w="2673" w:type="dxa"/>
            <w:vAlign w:val="center"/>
          </w:tcPr>
          <w:p w:rsidR="00A22B62" w:rsidRDefault="00F6209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w:t>
            </w:r>
            <w:r>
              <w:rPr>
                <w:color w:val="000000"/>
                <w:sz w:val="24"/>
              </w:rPr>
              <w:t>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w:t>
            </w:r>
            <w:r>
              <w:rPr>
                <w:color w:val="000000"/>
                <w:sz w:val="24"/>
              </w:rPr>
              <w:lastRenderedPageBreak/>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A22B62" w:rsidRDefault="00F620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2B62" w:rsidRDefault="00F6209F">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2B62" w:rsidRDefault="00F620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A22B62" w:rsidRDefault="00F6209F">
      <w:pPr>
        <w:spacing w:before="29" w:line="288" w:lineRule="auto"/>
        <w:ind w:firstLineChars="200" w:firstLine="480"/>
        <w:rPr>
          <w:color w:val="000000"/>
          <w:sz w:val="24"/>
        </w:rPr>
      </w:pPr>
      <w:r>
        <w:rPr>
          <w:color w:val="000000"/>
          <w:sz w:val="24"/>
        </w:rPr>
        <w:t>2019</w:t>
      </w:r>
      <w:r>
        <w:rPr>
          <w:color w:val="000000"/>
          <w:sz w:val="24"/>
        </w:rPr>
        <w:t>年三季度国内宏观环境基本稳定，经济走势稳中偏弱，政策面支持力度加大。受需求端拖累和外部不确定性影响，国内制造业投资面临一定压力，但消费和基建的温</w:t>
      </w:r>
      <w:r>
        <w:rPr>
          <w:color w:val="000000"/>
          <w:sz w:val="24"/>
        </w:rPr>
        <w:lastRenderedPageBreak/>
        <w:t>和回暖为国内经济带来支撑。在此经济背景下，三季度</w:t>
      </w:r>
      <w:r>
        <w:rPr>
          <w:color w:val="000000"/>
          <w:sz w:val="24"/>
        </w:rPr>
        <w:t>A</w:t>
      </w:r>
      <w:r>
        <w:rPr>
          <w:color w:val="000000"/>
          <w:sz w:val="24"/>
        </w:rPr>
        <w:t>股市场延续震荡态势，估值水平基本稳定，市场风险偏好有所上升，科技类品种受到较强关注。作为跟踪基准指数的指数基金，三季度基金总体呈现震荡走势。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2019</w:t>
      </w:r>
      <w:r w:rsidRPr="00324C76">
        <w:rPr>
          <w:color w:val="000000"/>
          <w:sz w:val="24"/>
        </w:rPr>
        <w:t>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“3.1</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 xml:space="preserve">“3.2.1 </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F6209F">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p w:rsidR="005F16FA" w:rsidRPr="005F16FA" w:rsidRDefault="005F16FA" w:rsidP="005F16FA">
      <w:pPr>
        <w:autoSpaceDE w:val="0"/>
        <w:autoSpaceDN w:val="0"/>
        <w:adjustRightInd w:val="0"/>
        <w:spacing w:line="360" w:lineRule="auto"/>
        <w:jc w:val="right"/>
        <w:rPr>
          <w:rFonts w:eastAsiaTheme="minorEastAsia"/>
          <w:color w:val="000000" w:themeColor="text1"/>
          <w:kern w:val="0"/>
          <w:sz w:val="24"/>
        </w:rPr>
      </w:pPr>
      <w:r w:rsidRPr="005F16FA">
        <w:rPr>
          <w:rFonts w:eastAsiaTheme="minorEastAsia" w:hint="eastAsia"/>
          <w:color w:val="000000" w:themeColor="text1"/>
          <w:kern w:val="0"/>
          <w:sz w:val="24"/>
        </w:rPr>
        <w:t>金额单位：人民币元</w:t>
      </w:r>
    </w:p>
    <w:tbl>
      <w:tblPr>
        <w:tblStyle w:val="af7"/>
        <w:tblW w:w="8897" w:type="dxa"/>
        <w:tblInd w:w="108" w:type="dxa"/>
        <w:tblLayout w:type="fixed"/>
        <w:tblLook w:val="04A0"/>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p>
        </w:tc>
        <w:tc>
          <w:tcPr>
            <w:tcW w:w="2801" w:type="dxa"/>
            <w:vAlign w:val="center"/>
          </w:tcPr>
          <w:p w:rsidR="00BA170A" w:rsidRPr="00AE0465" w:rsidRDefault="00644EC3"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689,712.60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0.95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689,712.60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0.95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66,807,465.00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91.83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w:t>
            </w:r>
            <w:r w:rsidRPr="00AE0465">
              <w:rPr>
                <w:rFonts w:eastAsiaTheme="minorEastAsia"/>
                <w:color w:val="000000" w:themeColor="text1"/>
                <w:sz w:val="24"/>
              </w:rPr>
              <w:lastRenderedPageBreak/>
              <w:t>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lastRenderedPageBreak/>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lastRenderedPageBreak/>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4,286,079.77</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5.89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967,588.71</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1.33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72,750,846.08</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A22B62">
        <w:trPr>
          <w:jc w:val="center"/>
        </w:trPr>
        <w:tc>
          <w:tcPr>
            <w:tcW w:w="1265" w:type="dxa"/>
            <w:vAlign w:val="center"/>
          </w:tcPr>
          <w:p w:rsidR="00A22B62" w:rsidRDefault="00F6209F">
            <w:pPr>
              <w:jc w:val="center"/>
            </w:pPr>
            <w:r>
              <w:rPr>
                <w:sz w:val="24"/>
              </w:rPr>
              <w:t>1</w:t>
            </w:r>
          </w:p>
        </w:tc>
        <w:tc>
          <w:tcPr>
            <w:tcW w:w="1266" w:type="dxa"/>
            <w:vAlign w:val="center"/>
          </w:tcPr>
          <w:p w:rsidR="00A22B62" w:rsidRDefault="00F6209F">
            <w:pPr>
              <w:jc w:val="center"/>
            </w:pPr>
            <w:r>
              <w:rPr>
                <w:sz w:val="24"/>
              </w:rPr>
              <w:t>深证</w:t>
            </w:r>
            <w:r>
              <w:rPr>
                <w:sz w:val="24"/>
              </w:rPr>
              <w:t>300</w:t>
            </w:r>
            <w:r>
              <w:rPr>
                <w:sz w:val="24"/>
              </w:rPr>
              <w:t>价值交易型开放式指数证券投资基金</w:t>
            </w:r>
          </w:p>
        </w:tc>
        <w:tc>
          <w:tcPr>
            <w:tcW w:w="1267" w:type="dxa"/>
            <w:vAlign w:val="center"/>
          </w:tcPr>
          <w:p w:rsidR="00A22B62" w:rsidRDefault="00F6209F">
            <w:pPr>
              <w:jc w:val="center"/>
            </w:pPr>
            <w:r>
              <w:rPr>
                <w:sz w:val="24"/>
              </w:rPr>
              <w:t>股票型</w:t>
            </w:r>
          </w:p>
        </w:tc>
        <w:tc>
          <w:tcPr>
            <w:tcW w:w="1267" w:type="dxa"/>
            <w:vAlign w:val="center"/>
          </w:tcPr>
          <w:p w:rsidR="00A22B62" w:rsidRDefault="00F6209F">
            <w:pPr>
              <w:jc w:val="center"/>
            </w:pPr>
            <w:r>
              <w:rPr>
                <w:sz w:val="24"/>
              </w:rPr>
              <w:t>交易型开放式</w:t>
            </w:r>
          </w:p>
        </w:tc>
        <w:tc>
          <w:tcPr>
            <w:tcW w:w="1267" w:type="dxa"/>
            <w:vAlign w:val="center"/>
          </w:tcPr>
          <w:p w:rsidR="00A22B62" w:rsidRDefault="00F6209F">
            <w:pPr>
              <w:jc w:val="center"/>
            </w:pPr>
            <w:r>
              <w:rPr>
                <w:sz w:val="24"/>
              </w:rPr>
              <w:t>交银施罗德基金管理有限公司</w:t>
            </w:r>
          </w:p>
        </w:tc>
        <w:tc>
          <w:tcPr>
            <w:tcW w:w="1268" w:type="dxa"/>
            <w:vAlign w:val="center"/>
          </w:tcPr>
          <w:p w:rsidR="00A22B62" w:rsidRDefault="00F6209F">
            <w:pPr>
              <w:jc w:val="right"/>
            </w:pPr>
            <w:r>
              <w:rPr>
                <w:sz w:val="24"/>
              </w:rPr>
              <w:t>66,807,465.00</w:t>
            </w:r>
          </w:p>
        </w:tc>
        <w:tc>
          <w:tcPr>
            <w:tcW w:w="1268" w:type="dxa"/>
            <w:vAlign w:val="center"/>
          </w:tcPr>
          <w:p w:rsidR="00A22B62" w:rsidRDefault="00F6209F">
            <w:pPr>
              <w:jc w:val="right"/>
            </w:pPr>
            <w:r>
              <w:rPr>
                <w:sz w:val="24"/>
              </w:rPr>
              <w:t>92.11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Default="000D27BF" w:rsidP="000D27BF">
      <w:pPr>
        <w:rPr>
          <w:rFonts w:eastAsiaTheme="minorEastAsia"/>
          <w:b/>
          <w:color w:val="000000" w:themeColor="text1"/>
          <w:kern w:val="0"/>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p w:rsidR="00D17C3D" w:rsidRPr="005312D8" w:rsidRDefault="00D17C3D" w:rsidP="00D17C3D">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1C78B5">
            <w:pPr>
              <w:adjustRightInd w:val="0"/>
              <w:snapToGrid w:val="0"/>
              <w:spacing w:before="29" w:line="288" w:lineRule="auto"/>
              <w:jc w:val="center"/>
              <w:rPr>
                <w:sz w:val="24"/>
              </w:rPr>
            </w:pPr>
            <w:r w:rsidRPr="00324C76">
              <w:rPr>
                <w:sz w:val="24"/>
              </w:rPr>
              <w:t>公允价值</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2,466.00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4,574.00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501,436.60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4,623.00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12,558.00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4,645.00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71,535.00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74,472.00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689,712.60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0.95</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A22B62">
        <w:trPr>
          <w:jc w:val="center"/>
        </w:trPr>
        <w:tc>
          <w:tcPr>
            <w:tcW w:w="849" w:type="dxa"/>
            <w:vAlign w:val="center"/>
          </w:tcPr>
          <w:p w:rsidR="00A22B62" w:rsidRDefault="00F6209F">
            <w:pPr>
              <w:jc w:val="center"/>
            </w:pPr>
            <w:r>
              <w:rPr>
                <w:color w:val="000000"/>
                <w:sz w:val="24"/>
              </w:rPr>
              <w:t>1</w:t>
            </w:r>
          </w:p>
        </w:tc>
        <w:tc>
          <w:tcPr>
            <w:tcW w:w="1327" w:type="dxa"/>
            <w:vAlign w:val="center"/>
          </w:tcPr>
          <w:p w:rsidR="00A22B62" w:rsidRDefault="00F6209F">
            <w:pPr>
              <w:jc w:val="center"/>
            </w:pPr>
            <w:r>
              <w:rPr>
                <w:color w:val="000000"/>
                <w:sz w:val="24"/>
              </w:rPr>
              <w:t>000651</w:t>
            </w:r>
          </w:p>
        </w:tc>
        <w:tc>
          <w:tcPr>
            <w:tcW w:w="1621" w:type="dxa"/>
            <w:vAlign w:val="center"/>
          </w:tcPr>
          <w:p w:rsidR="00A22B62" w:rsidRDefault="00F6209F">
            <w:pPr>
              <w:jc w:val="center"/>
            </w:pPr>
            <w:r>
              <w:rPr>
                <w:color w:val="000000"/>
                <w:sz w:val="24"/>
              </w:rPr>
              <w:t>格力电器</w:t>
            </w:r>
          </w:p>
        </w:tc>
        <w:tc>
          <w:tcPr>
            <w:tcW w:w="1769" w:type="dxa"/>
            <w:vAlign w:val="center"/>
          </w:tcPr>
          <w:p w:rsidR="00A22B62" w:rsidRDefault="00F6209F">
            <w:pPr>
              <w:jc w:val="right"/>
            </w:pPr>
            <w:r>
              <w:rPr>
                <w:color w:val="000000"/>
                <w:sz w:val="24"/>
              </w:rPr>
              <w:t>1,400</w:t>
            </w:r>
          </w:p>
        </w:tc>
        <w:tc>
          <w:tcPr>
            <w:tcW w:w="2211" w:type="dxa"/>
            <w:vAlign w:val="center"/>
          </w:tcPr>
          <w:p w:rsidR="00A22B62" w:rsidRDefault="00F6209F">
            <w:pPr>
              <w:jc w:val="right"/>
            </w:pPr>
            <w:r>
              <w:rPr>
                <w:color w:val="000000"/>
                <w:sz w:val="24"/>
              </w:rPr>
              <w:t>80,220.00</w:t>
            </w:r>
          </w:p>
        </w:tc>
        <w:tc>
          <w:tcPr>
            <w:tcW w:w="1091" w:type="dxa"/>
            <w:vAlign w:val="center"/>
          </w:tcPr>
          <w:p w:rsidR="00A22B62" w:rsidRDefault="00F6209F">
            <w:pPr>
              <w:jc w:val="right"/>
            </w:pPr>
            <w:r>
              <w:rPr>
                <w:color w:val="000000"/>
                <w:sz w:val="24"/>
              </w:rPr>
              <w:t>0.11</w:t>
            </w:r>
          </w:p>
        </w:tc>
      </w:tr>
      <w:tr w:rsidR="00A22B62">
        <w:trPr>
          <w:jc w:val="center"/>
        </w:trPr>
        <w:tc>
          <w:tcPr>
            <w:tcW w:w="849" w:type="dxa"/>
            <w:vAlign w:val="center"/>
          </w:tcPr>
          <w:p w:rsidR="00A22B62" w:rsidRDefault="00F6209F">
            <w:pPr>
              <w:jc w:val="center"/>
            </w:pPr>
            <w:r>
              <w:rPr>
                <w:color w:val="000000"/>
                <w:sz w:val="24"/>
              </w:rPr>
              <w:t>2</w:t>
            </w:r>
          </w:p>
        </w:tc>
        <w:tc>
          <w:tcPr>
            <w:tcW w:w="1327" w:type="dxa"/>
            <w:vAlign w:val="center"/>
          </w:tcPr>
          <w:p w:rsidR="00A22B62" w:rsidRDefault="00F6209F">
            <w:pPr>
              <w:jc w:val="center"/>
            </w:pPr>
            <w:r>
              <w:rPr>
                <w:color w:val="000000"/>
                <w:sz w:val="24"/>
              </w:rPr>
              <w:t>000333</w:t>
            </w:r>
          </w:p>
        </w:tc>
        <w:tc>
          <w:tcPr>
            <w:tcW w:w="1621" w:type="dxa"/>
            <w:vAlign w:val="center"/>
          </w:tcPr>
          <w:p w:rsidR="00A22B62" w:rsidRDefault="00F6209F">
            <w:pPr>
              <w:jc w:val="center"/>
            </w:pPr>
            <w:r>
              <w:rPr>
                <w:color w:val="000000"/>
                <w:sz w:val="24"/>
              </w:rPr>
              <w:t>美的集团</w:t>
            </w:r>
          </w:p>
        </w:tc>
        <w:tc>
          <w:tcPr>
            <w:tcW w:w="1769" w:type="dxa"/>
            <w:vAlign w:val="center"/>
          </w:tcPr>
          <w:p w:rsidR="00A22B62" w:rsidRDefault="00F6209F">
            <w:pPr>
              <w:jc w:val="right"/>
            </w:pPr>
            <w:r>
              <w:rPr>
                <w:color w:val="000000"/>
                <w:sz w:val="24"/>
              </w:rPr>
              <w:t>1,430</w:t>
            </w:r>
          </w:p>
        </w:tc>
        <w:tc>
          <w:tcPr>
            <w:tcW w:w="2211" w:type="dxa"/>
            <w:vAlign w:val="center"/>
          </w:tcPr>
          <w:p w:rsidR="00A22B62" w:rsidRDefault="00F6209F">
            <w:pPr>
              <w:jc w:val="right"/>
            </w:pPr>
            <w:r>
              <w:rPr>
                <w:color w:val="000000"/>
                <w:sz w:val="24"/>
              </w:rPr>
              <w:t>73,073.00</w:t>
            </w:r>
          </w:p>
        </w:tc>
        <w:tc>
          <w:tcPr>
            <w:tcW w:w="1091" w:type="dxa"/>
            <w:vAlign w:val="center"/>
          </w:tcPr>
          <w:p w:rsidR="00A22B62" w:rsidRDefault="00F6209F">
            <w:pPr>
              <w:jc w:val="right"/>
            </w:pPr>
            <w:r>
              <w:rPr>
                <w:color w:val="000000"/>
                <w:sz w:val="24"/>
              </w:rPr>
              <w:t>0.10</w:t>
            </w:r>
          </w:p>
        </w:tc>
      </w:tr>
      <w:tr w:rsidR="00A22B62">
        <w:trPr>
          <w:jc w:val="center"/>
        </w:trPr>
        <w:tc>
          <w:tcPr>
            <w:tcW w:w="849" w:type="dxa"/>
            <w:vAlign w:val="center"/>
          </w:tcPr>
          <w:p w:rsidR="00A22B62" w:rsidRDefault="00F6209F">
            <w:pPr>
              <w:jc w:val="center"/>
            </w:pPr>
            <w:r>
              <w:rPr>
                <w:color w:val="000000"/>
                <w:sz w:val="24"/>
              </w:rPr>
              <w:t>3</w:t>
            </w:r>
          </w:p>
        </w:tc>
        <w:tc>
          <w:tcPr>
            <w:tcW w:w="1327" w:type="dxa"/>
            <w:vAlign w:val="center"/>
          </w:tcPr>
          <w:p w:rsidR="00A22B62" w:rsidRDefault="00F6209F">
            <w:pPr>
              <w:jc w:val="center"/>
            </w:pPr>
            <w:r>
              <w:rPr>
                <w:color w:val="000000"/>
                <w:sz w:val="24"/>
              </w:rPr>
              <w:t>000858</w:t>
            </w:r>
          </w:p>
        </w:tc>
        <w:tc>
          <w:tcPr>
            <w:tcW w:w="1621" w:type="dxa"/>
            <w:vAlign w:val="center"/>
          </w:tcPr>
          <w:p w:rsidR="00A22B62" w:rsidRDefault="00F6209F">
            <w:pPr>
              <w:jc w:val="center"/>
            </w:pPr>
            <w:r>
              <w:rPr>
                <w:color w:val="000000"/>
                <w:sz w:val="24"/>
              </w:rPr>
              <w:t>五粮液</w:t>
            </w:r>
          </w:p>
        </w:tc>
        <w:tc>
          <w:tcPr>
            <w:tcW w:w="1769" w:type="dxa"/>
            <w:vAlign w:val="center"/>
          </w:tcPr>
          <w:p w:rsidR="00A22B62" w:rsidRDefault="00F6209F">
            <w:pPr>
              <w:jc w:val="right"/>
            </w:pPr>
            <w:r>
              <w:rPr>
                <w:color w:val="000000"/>
                <w:sz w:val="24"/>
              </w:rPr>
              <w:t>500</w:t>
            </w:r>
          </w:p>
        </w:tc>
        <w:tc>
          <w:tcPr>
            <w:tcW w:w="2211" w:type="dxa"/>
            <w:vAlign w:val="center"/>
          </w:tcPr>
          <w:p w:rsidR="00A22B62" w:rsidRDefault="00F6209F">
            <w:pPr>
              <w:jc w:val="right"/>
            </w:pPr>
            <w:r>
              <w:rPr>
                <w:color w:val="000000"/>
                <w:sz w:val="24"/>
              </w:rPr>
              <w:t>64,900.00</w:t>
            </w:r>
          </w:p>
        </w:tc>
        <w:tc>
          <w:tcPr>
            <w:tcW w:w="1091" w:type="dxa"/>
            <w:vAlign w:val="center"/>
          </w:tcPr>
          <w:p w:rsidR="00A22B62" w:rsidRDefault="00F6209F">
            <w:pPr>
              <w:jc w:val="right"/>
            </w:pPr>
            <w:r>
              <w:rPr>
                <w:color w:val="000000"/>
                <w:sz w:val="24"/>
              </w:rPr>
              <w:t>0.09</w:t>
            </w:r>
          </w:p>
        </w:tc>
      </w:tr>
      <w:tr w:rsidR="00A22B62">
        <w:trPr>
          <w:jc w:val="center"/>
        </w:trPr>
        <w:tc>
          <w:tcPr>
            <w:tcW w:w="849" w:type="dxa"/>
            <w:vAlign w:val="center"/>
          </w:tcPr>
          <w:p w:rsidR="00A22B62" w:rsidRDefault="00F6209F">
            <w:pPr>
              <w:jc w:val="center"/>
            </w:pPr>
            <w:r>
              <w:rPr>
                <w:color w:val="000000"/>
                <w:sz w:val="24"/>
              </w:rPr>
              <w:t>4</w:t>
            </w:r>
          </w:p>
        </w:tc>
        <w:tc>
          <w:tcPr>
            <w:tcW w:w="1327" w:type="dxa"/>
            <w:vAlign w:val="center"/>
          </w:tcPr>
          <w:p w:rsidR="00A22B62" w:rsidRDefault="00F6209F">
            <w:pPr>
              <w:jc w:val="center"/>
            </w:pPr>
            <w:r>
              <w:rPr>
                <w:color w:val="000000"/>
                <w:sz w:val="24"/>
              </w:rPr>
              <w:t>000001</w:t>
            </w:r>
          </w:p>
        </w:tc>
        <w:tc>
          <w:tcPr>
            <w:tcW w:w="1621" w:type="dxa"/>
            <w:vAlign w:val="center"/>
          </w:tcPr>
          <w:p w:rsidR="00A22B62" w:rsidRDefault="00F6209F">
            <w:pPr>
              <w:jc w:val="center"/>
            </w:pPr>
            <w:r>
              <w:rPr>
                <w:color w:val="000000"/>
                <w:sz w:val="24"/>
              </w:rPr>
              <w:t>平安银行</w:t>
            </w:r>
          </w:p>
        </w:tc>
        <w:tc>
          <w:tcPr>
            <w:tcW w:w="1769" w:type="dxa"/>
            <w:vAlign w:val="center"/>
          </w:tcPr>
          <w:p w:rsidR="00A22B62" w:rsidRDefault="00F6209F">
            <w:pPr>
              <w:jc w:val="right"/>
            </w:pPr>
            <w:r>
              <w:rPr>
                <w:color w:val="000000"/>
                <w:sz w:val="24"/>
              </w:rPr>
              <w:t>2,400</w:t>
            </w:r>
          </w:p>
        </w:tc>
        <w:tc>
          <w:tcPr>
            <w:tcW w:w="2211" w:type="dxa"/>
            <w:vAlign w:val="center"/>
          </w:tcPr>
          <w:p w:rsidR="00A22B62" w:rsidRDefault="00F6209F">
            <w:pPr>
              <w:jc w:val="right"/>
            </w:pPr>
            <w:r>
              <w:rPr>
                <w:color w:val="000000"/>
                <w:sz w:val="24"/>
              </w:rPr>
              <w:t>37,416.00</w:t>
            </w:r>
          </w:p>
        </w:tc>
        <w:tc>
          <w:tcPr>
            <w:tcW w:w="1091" w:type="dxa"/>
            <w:vAlign w:val="center"/>
          </w:tcPr>
          <w:p w:rsidR="00A22B62" w:rsidRDefault="00F6209F">
            <w:pPr>
              <w:jc w:val="right"/>
            </w:pPr>
            <w:r>
              <w:rPr>
                <w:color w:val="000000"/>
                <w:sz w:val="24"/>
              </w:rPr>
              <w:t>0.05</w:t>
            </w:r>
          </w:p>
        </w:tc>
      </w:tr>
      <w:tr w:rsidR="00A22B62">
        <w:trPr>
          <w:jc w:val="center"/>
        </w:trPr>
        <w:tc>
          <w:tcPr>
            <w:tcW w:w="849" w:type="dxa"/>
            <w:vAlign w:val="center"/>
          </w:tcPr>
          <w:p w:rsidR="00A22B62" w:rsidRDefault="00F6209F">
            <w:pPr>
              <w:jc w:val="center"/>
            </w:pPr>
            <w:r>
              <w:rPr>
                <w:color w:val="000000"/>
                <w:sz w:val="24"/>
              </w:rPr>
              <w:t>5</w:t>
            </w:r>
          </w:p>
        </w:tc>
        <w:tc>
          <w:tcPr>
            <w:tcW w:w="1327" w:type="dxa"/>
            <w:vAlign w:val="center"/>
          </w:tcPr>
          <w:p w:rsidR="00A22B62" w:rsidRDefault="00F6209F">
            <w:pPr>
              <w:jc w:val="center"/>
            </w:pPr>
            <w:r>
              <w:rPr>
                <w:color w:val="000000"/>
                <w:sz w:val="24"/>
              </w:rPr>
              <w:t>000002</w:t>
            </w:r>
          </w:p>
        </w:tc>
        <w:tc>
          <w:tcPr>
            <w:tcW w:w="1621" w:type="dxa"/>
            <w:vAlign w:val="center"/>
          </w:tcPr>
          <w:p w:rsidR="00A22B62" w:rsidRDefault="00F6209F">
            <w:pPr>
              <w:jc w:val="center"/>
            </w:pPr>
            <w:r>
              <w:rPr>
                <w:color w:val="000000"/>
                <w:sz w:val="24"/>
              </w:rPr>
              <w:t>万科</w:t>
            </w:r>
            <w:r>
              <w:rPr>
                <w:color w:val="000000"/>
                <w:sz w:val="24"/>
              </w:rPr>
              <w:t>A</w:t>
            </w:r>
          </w:p>
        </w:tc>
        <w:tc>
          <w:tcPr>
            <w:tcW w:w="1769" w:type="dxa"/>
            <w:vAlign w:val="center"/>
          </w:tcPr>
          <w:p w:rsidR="00A22B62" w:rsidRDefault="00F6209F">
            <w:pPr>
              <w:jc w:val="right"/>
            </w:pPr>
            <w:r>
              <w:rPr>
                <w:color w:val="000000"/>
                <w:sz w:val="24"/>
              </w:rPr>
              <w:t>1,400</w:t>
            </w:r>
          </w:p>
        </w:tc>
        <w:tc>
          <w:tcPr>
            <w:tcW w:w="2211" w:type="dxa"/>
            <w:vAlign w:val="center"/>
          </w:tcPr>
          <w:p w:rsidR="00A22B62" w:rsidRDefault="00F6209F">
            <w:pPr>
              <w:jc w:val="right"/>
            </w:pPr>
            <w:r>
              <w:rPr>
                <w:color w:val="000000"/>
                <w:sz w:val="24"/>
              </w:rPr>
              <w:t>36,260.00</w:t>
            </w:r>
          </w:p>
        </w:tc>
        <w:tc>
          <w:tcPr>
            <w:tcW w:w="1091" w:type="dxa"/>
            <w:vAlign w:val="center"/>
          </w:tcPr>
          <w:p w:rsidR="00A22B62" w:rsidRDefault="00F6209F">
            <w:pPr>
              <w:jc w:val="right"/>
            </w:pPr>
            <w:r>
              <w:rPr>
                <w:color w:val="000000"/>
                <w:sz w:val="24"/>
              </w:rPr>
              <w:t>0.05</w:t>
            </w:r>
          </w:p>
        </w:tc>
      </w:tr>
      <w:tr w:rsidR="00A22B62">
        <w:trPr>
          <w:jc w:val="center"/>
        </w:trPr>
        <w:tc>
          <w:tcPr>
            <w:tcW w:w="849" w:type="dxa"/>
            <w:vAlign w:val="center"/>
          </w:tcPr>
          <w:p w:rsidR="00A22B62" w:rsidRDefault="00F6209F">
            <w:pPr>
              <w:jc w:val="center"/>
            </w:pPr>
            <w:r>
              <w:rPr>
                <w:color w:val="000000"/>
                <w:sz w:val="24"/>
              </w:rPr>
              <w:t>6</w:t>
            </w:r>
          </w:p>
        </w:tc>
        <w:tc>
          <w:tcPr>
            <w:tcW w:w="1327" w:type="dxa"/>
            <w:vAlign w:val="center"/>
          </w:tcPr>
          <w:p w:rsidR="00A22B62" w:rsidRDefault="00F6209F">
            <w:pPr>
              <w:jc w:val="center"/>
            </w:pPr>
            <w:r>
              <w:rPr>
                <w:color w:val="000000"/>
                <w:sz w:val="24"/>
              </w:rPr>
              <w:t>000725</w:t>
            </w:r>
          </w:p>
        </w:tc>
        <w:tc>
          <w:tcPr>
            <w:tcW w:w="1621" w:type="dxa"/>
            <w:vAlign w:val="center"/>
          </w:tcPr>
          <w:p w:rsidR="00A22B62" w:rsidRDefault="00F6209F">
            <w:pPr>
              <w:jc w:val="center"/>
            </w:pPr>
            <w:r>
              <w:rPr>
                <w:color w:val="000000"/>
                <w:sz w:val="24"/>
              </w:rPr>
              <w:t>京东方</w:t>
            </w:r>
            <w:r>
              <w:rPr>
                <w:color w:val="000000"/>
                <w:sz w:val="24"/>
              </w:rPr>
              <w:t>A</w:t>
            </w:r>
          </w:p>
        </w:tc>
        <w:tc>
          <w:tcPr>
            <w:tcW w:w="1769" w:type="dxa"/>
            <w:vAlign w:val="center"/>
          </w:tcPr>
          <w:p w:rsidR="00A22B62" w:rsidRDefault="00F6209F">
            <w:pPr>
              <w:jc w:val="right"/>
            </w:pPr>
            <w:r>
              <w:rPr>
                <w:color w:val="000000"/>
                <w:sz w:val="24"/>
              </w:rPr>
              <w:t>7,500</w:t>
            </w:r>
          </w:p>
        </w:tc>
        <w:tc>
          <w:tcPr>
            <w:tcW w:w="2211" w:type="dxa"/>
            <w:vAlign w:val="center"/>
          </w:tcPr>
          <w:p w:rsidR="00A22B62" w:rsidRDefault="00F6209F">
            <w:pPr>
              <w:jc w:val="right"/>
            </w:pPr>
            <w:r>
              <w:rPr>
                <w:color w:val="000000"/>
                <w:sz w:val="24"/>
              </w:rPr>
              <w:t>28,125.00</w:t>
            </w:r>
          </w:p>
        </w:tc>
        <w:tc>
          <w:tcPr>
            <w:tcW w:w="1091" w:type="dxa"/>
            <w:vAlign w:val="center"/>
          </w:tcPr>
          <w:p w:rsidR="00A22B62" w:rsidRDefault="00F6209F">
            <w:pPr>
              <w:jc w:val="right"/>
            </w:pPr>
            <w:r>
              <w:rPr>
                <w:color w:val="000000"/>
                <w:sz w:val="24"/>
              </w:rPr>
              <w:t>0.04</w:t>
            </w:r>
          </w:p>
        </w:tc>
      </w:tr>
      <w:tr w:rsidR="00A22B62">
        <w:trPr>
          <w:jc w:val="center"/>
        </w:trPr>
        <w:tc>
          <w:tcPr>
            <w:tcW w:w="849" w:type="dxa"/>
            <w:vAlign w:val="center"/>
          </w:tcPr>
          <w:p w:rsidR="00A22B62" w:rsidRDefault="00F6209F">
            <w:pPr>
              <w:jc w:val="center"/>
            </w:pPr>
            <w:r>
              <w:rPr>
                <w:color w:val="000000"/>
                <w:sz w:val="24"/>
              </w:rPr>
              <w:t>7</w:t>
            </w:r>
          </w:p>
        </w:tc>
        <w:tc>
          <w:tcPr>
            <w:tcW w:w="1327" w:type="dxa"/>
            <w:vAlign w:val="center"/>
          </w:tcPr>
          <w:p w:rsidR="00A22B62" w:rsidRDefault="00F6209F">
            <w:pPr>
              <w:jc w:val="center"/>
            </w:pPr>
            <w:r>
              <w:rPr>
                <w:color w:val="000000"/>
                <w:sz w:val="24"/>
              </w:rPr>
              <w:t>002304</w:t>
            </w:r>
          </w:p>
        </w:tc>
        <w:tc>
          <w:tcPr>
            <w:tcW w:w="1621" w:type="dxa"/>
            <w:vAlign w:val="center"/>
          </w:tcPr>
          <w:p w:rsidR="00A22B62" w:rsidRDefault="00F6209F">
            <w:pPr>
              <w:jc w:val="center"/>
            </w:pPr>
            <w:r>
              <w:rPr>
                <w:color w:val="000000"/>
                <w:sz w:val="24"/>
              </w:rPr>
              <w:t>洋河股份</w:t>
            </w:r>
          </w:p>
        </w:tc>
        <w:tc>
          <w:tcPr>
            <w:tcW w:w="1769" w:type="dxa"/>
            <w:vAlign w:val="center"/>
          </w:tcPr>
          <w:p w:rsidR="00A22B62" w:rsidRDefault="00F6209F">
            <w:pPr>
              <w:jc w:val="right"/>
            </w:pPr>
            <w:r>
              <w:rPr>
                <w:color w:val="000000"/>
                <w:sz w:val="24"/>
              </w:rPr>
              <w:t>200</w:t>
            </w:r>
          </w:p>
        </w:tc>
        <w:tc>
          <w:tcPr>
            <w:tcW w:w="2211" w:type="dxa"/>
            <w:vAlign w:val="center"/>
          </w:tcPr>
          <w:p w:rsidR="00A22B62" w:rsidRDefault="00F6209F">
            <w:pPr>
              <w:jc w:val="right"/>
            </w:pPr>
            <w:r>
              <w:rPr>
                <w:color w:val="000000"/>
                <w:sz w:val="24"/>
              </w:rPr>
              <w:t>20,800.00</w:t>
            </w:r>
          </w:p>
        </w:tc>
        <w:tc>
          <w:tcPr>
            <w:tcW w:w="1091" w:type="dxa"/>
            <w:vAlign w:val="center"/>
          </w:tcPr>
          <w:p w:rsidR="00A22B62" w:rsidRDefault="00F6209F">
            <w:pPr>
              <w:jc w:val="right"/>
            </w:pPr>
            <w:r>
              <w:rPr>
                <w:color w:val="000000"/>
                <w:sz w:val="24"/>
              </w:rPr>
              <w:t>0.03</w:t>
            </w:r>
          </w:p>
        </w:tc>
      </w:tr>
      <w:tr w:rsidR="00A22B62">
        <w:trPr>
          <w:jc w:val="center"/>
        </w:trPr>
        <w:tc>
          <w:tcPr>
            <w:tcW w:w="849" w:type="dxa"/>
            <w:vAlign w:val="center"/>
          </w:tcPr>
          <w:p w:rsidR="00A22B62" w:rsidRDefault="00F6209F">
            <w:pPr>
              <w:jc w:val="center"/>
            </w:pPr>
            <w:r>
              <w:rPr>
                <w:color w:val="000000"/>
                <w:sz w:val="24"/>
              </w:rPr>
              <w:t>8</w:t>
            </w:r>
          </w:p>
        </w:tc>
        <w:tc>
          <w:tcPr>
            <w:tcW w:w="1327" w:type="dxa"/>
            <w:vAlign w:val="center"/>
          </w:tcPr>
          <w:p w:rsidR="00A22B62" w:rsidRDefault="00F6209F">
            <w:pPr>
              <w:jc w:val="center"/>
            </w:pPr>
            <w:r>
              <w:rPr>
                <w:color w:val="000000"/>
                <w:sz w:val="24"/>
              </w:rPr>
              <w:t>000568</w:t>
            </w:r>
          </w:p>
        </w:tc>
        <w:tc>
          <w:tcPr>
            <w:tcW w:w="1621" w:type="dxa"/>
            <w:vAlign w:val="center"/>
          </w:tcPr>
          <w:p w:rsidR="00A22B62" w:rsidRDefault="00F6209F">
            <w:pPr>
              <w:jc w:val="center"/>
            </w:pPr>
            <w:r>
              <w:rPr>
                <w:color w:val="000000"/>
                <w:sz w:val="24"/>
              </w:rPr>
              <w:t>泸州老窖</w:t>
            </w:r>
          </w:p>
        </w:tc>
        <w:tc>
          <w:tcPr>
            <w:tcW w:w="1769" w:type="dxa"/>
            <w:vAlign w:val="center"/>
          </w:tcPr>
          <w:p w:rsidR="00A22B62" w:rsidRDefault="00F6209F">
            <w:pPr>
              <w:jc w:val="right"/>
            </w:pPr>
            <w:r>
              <w:rPr>
                <w:color w:val="000000"/>
                <w:sz w:val="24"/>
              </w:rPr>
              <w:t>200</w:t>
            </w:r>
          </w:p>
        </w:tc>
        <w:tc>
          <w:tcPr>
            <w:tcW w:w="2211" w:type="dxa"/>
            <w:vAlign w:val="center"/>
          </w:tcPr>
          <w:p w:rsidR="00A22B62" w:rsidRDefault="00F6209F">
            <w:pPr>
              <w:jc w:val="right"/>
            </w:pPr>
            <w:r>
              <w:rPr>
                <w:color w:val="000000"/>
                <w:sz w:val="24"/>
              </w:rPr>
              <w:t>17,044.00</w:t>
            </w:r>
          </w:p>
        </w:tc>
        <w:tc>
          <w:tcPr>
            <w:tcW w:w="1091" w:type="dxa"/>
            <w:vAlign w:val="center"/>
          </w:tcPr>
          <w:p w:rsidR="00A22B62" w:rsidRDefault="00F6209F">
            <w:pPr>
              <w:jc w:val="right"/>
            </w:pPr>
            <w:r>
              <w:rPr>
                <w:color w:val="000000"/>
                <w:sz w:val="24"/>
              </w:rPr>
              <w:t>0.02</w:t>
            </w:r>
          </w:p>
        </w:tc>
      </w:tr>
      <w:tr w:rsidR="00A22B62">
        <w:trPr>
          <w:jc w:val="center"/>
        </w:trPr>
        <w:tc>
          <w:tcPr>
            <w:tcW w:w="849" w:type="dxa"/>
            <w:vAlign w:val="center"/>
          </w:tcPr>
          <w:p w:rsidR="00A22B62" w:rsidRDefault="00F6209F">
            <w:pPr>
              <w:jc w:val="center"/>
            </w:pPr>
            <w:r>
              <w:rPr>
                <w:color w:val="000000"/>
                <w:sz w:val="24"/>
              </w:rPr>
              <w:t>9</w:t>
            </w:r>
          </w:p>
        </w:tc>
        <w:tc>
          <w:tcPr>
            <w:tcW w:w="1327" w:type="dxa"/>
            <w:vAlign w:val="center"/>
          </w:tcPr>
          <w:p w:rsidR="00A22B62" w:rsidRDefault="00F6209F">
            <w:pPr>
              <w:jc w:val="center"/>
            </w:pPr>
            <w:r>
              <w:rPr>
                <w:color w:val="000000"/>
                <w:sz w:val="24"/>
              </w:rPr>
              <w:t>000338</w:t>
            </w:r>
          </w:p>
        </w:tc>
        <w:tc>
          <w:tcPr>
            <w:tcW w:w="1621" w:type="dxa"/>
            <w:vAlign w:val="center"/>
          </w:tcPr>
          <w:p w:rsidR="00A22B62" w:rsidRDefault="00F6209F">
            <w:pPr>
              <w:jc w:val="center"/>
            </w:pPr>
            <w:r>
              <w:rPr>
                <w:color w:val="000000"/>
                <w:sz w:val="24"/>
              </w:rPr>
              <w:t>潍柴动力</w:t>
            </w:r>
          </w:p>
        </w:tc>
        <w:tc>
          <w:tcPr>
            <w:tcW w:w="1769" w:type="dxa"/>
            <w:vAlign w:val="center"/>
          </w:tcPr>
          <w:p w:rsidR="00A22B62" w:rsidRDefault="00F6209F">
            <w:pPr>
              <w:jc w:val="right"/>
            </w:pPr>
            <w:r>
              <w:rPr>
                <w:color w:val="000000"/>
                <w:sz w:val="24"/>
              </w:rPr>
              <w:t>1,300</w:t>
            </w:r>
          </w:p>
        </w:tc>
        <w:tc>
          <w:tcPr>
            <w:tcW w:w="2211" w:type="dxa"/>
            <w:vAlign w:val="center"/>
          </w:tcPr>
          <w:p w:rsidR="00A22B62" w:rsidRDefault="00F6209F">
            <w:pPr>
              <w:jc w:val="right"/>
            </w:pPr>
            <w:r>
              <w:rPr>
                <w:color w:val="000000"/>
                <w:sz w:val="24"/>
              </w:rPr>
              <w:t>14,586.00</w:t>
            </w:r>
          </w:p>
        </w:tc>
        <w:tc>
          <w:tcPr>
            <w:tcW w:w="1091" w:type="dxa"/>
            <w:vAlign w:val="center"/>
          </w:tcPr>
          <w:p w:rsidR="00A22B62" w:rsidRDefault="00F6209F">
            <w:pPr>
              <w:jc w:val="right"/>
            </w:pPr>
            <w:r>
              <w:rPr>
                <w:color w:val="000000"/>
                <w:sz w:val="24"/>
              </w:rPr>
              <w:t>0.02</w:t>
            </w:r>
          </w:p>
        </w:tc>
      </w:tr>
      <w:tr w:rsidR="00A22B62">
        <w:trPr>
          <w:jc w:val="center"/>
        </w:trPr>
        <w:tc>
          <w:tcPr>
            <w:tcW w:w="849" w:type="dxa"/>
            <w:vAlign w:val="center"/>
          </w:tcPr>
          <w:p w:rsidR="00A22B62" w:rsidRDefault="00F6209F">
            <w:pPr>
              <w:jc w:val="center"/>
            </w:pPr>
            <w:r>
              <w:rPr>
                <w:color w:val="000000"/>
                <w:sz w:val="24"/>
              </w:rPr>
              <w:t>10</w:t>
            </w:r>
          </w:p>
        </w:tc>
        <w:tc>
          <w:tcPr>
            <w:tcW w:w="1327" w:type="dxa"/>
            <w:vAlign w:val="center"/>
          </w:tcPr>
          <w:p w:rsidR="00A22B62" w:rsidRDefault="00F6209F">
            <w:pPr>
              <w:jc w:val="center"/>
            </w:pPr>
            <w:r>
              <w:rPr>
                <w:color w:val="000000"/>
                <w:sz w:val="24"/>
              </w:rPr>
              <w:t>001979</w:t>
            </w:r>
          </w:p>
        </w:tc>
        <w:tc>
          <w:tcPr>
            <w:tcW w:w="1621" w:type="dxa"/>
            <w:vAlign w:val="center"/>
          </w:tcPr>
          <w:p w:rsidR="00A22B62" w:rsidRDefault="00F6209F">
            <w:pPr>
              <w:jc w:val="center"/>
            </w:pPr>
            <w:r>
              <w:rPr>
                <w:color w:val="000000"/>
                <w:sz w:val="24"/>
              </w:rPr>
              <w:t>招商蛇口</w:t>
            </w:r>
          </w:p>
        </w:tc>
        <w:tc>
          <w:tcPr>
            <w:tcW w:w="1769" w:type="dxa"/>
            <w:vAlign w:val="center"/>
          </w:tcPr>
          <w:p w:rsidR="00A22B62" w:rsidRDefault="00F6209F">
            <w:pPr>
              <w:jc w:val="right"/>
            </w:pPr>
            <w:r>
              <w:rPr>
                <w:color w:val="000000"/>
                <w:sz w:val="24"/>
              </w:rPr>
              <w:t>700</w:t>
            </w:r>
          </w:p>
        </w:tc>
        <w:tc>
          <w:tcPr>
            <w:tcW w:w="2211" w:type="dxa"/>
            <w:vAlign w:val="center"/>
          </w:tcPr>
          <w:p w:rsidR="00A22B62" w:rsidRDefault="00F6209F">
            <w:pPr>
              <w:jc w:val="right"/>
            </w:pPr>
            <w:r>
              <w:rPr>
                <w:color w:val="000000"/>
                <w:sz w:val="24"/>
              </w:rPr>
              <w:t>13,293.00</w:t>
            </w:r>
          </w:p>
        </w:tc>
        <w:tc>
          <w:tcPr>
            <w:tcW w:w="1091" w:type="dxa"/>
            <w:vAlign w:val="center"/>
          </w:tcPr>
          <w:p w:rsidR="00A22B62" w:rsidRDefault="00F6209F">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390F9A" w:rsidRDefault="007D10B0" w:rsidP="00B04217">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R="000A02AE" w:rsidRPr="00120EC8" w:rsidRDefault="000A02AE" w:rsidP="000A02AE">
      <w:pPr>
        <w:autoSpaceDE w:val="0"/>
        <w:autoSpaceDN w:val="0"/>
        <w:adjustRightInd w:val="0"/>
        <w:spacing w:before="29" w:line="288" w:lineRule="auto"/>
        <w:jc w:val="right"/>
        <w:rPr>
          <w:kern w:val="0"/>
          <w:sz w:val="24"/>
        </w:rPr>
      </w:pPr>
      <w:r w:rsidRPr="000A02AE">
        <w:rPr>
          <w:rFonts w:hint="eastAsia"/>
          <w:kern w:val="0"/>
          <w:sz w:val="24"/>
        </w:rPr>
        <w:t>金额单位：人民币元</w:t>
      </w:r>
    </w:p>
    <w:tbl>
      <w:tblPr>
        <w:tblStyle w:val="af7"/>
        <w:tblW w:w="8868" w:type="dxa"/>
        <w:jc w:val="center"/>
        <w:tblLook w:val="04A0"/>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7,994.33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828,398.79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989.42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130,206.17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967,588.71</w:t>
            </w:r>
          </w:p>
        </w:tc>
      </w:tr>
    </w:tbl>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A40C1C" w:rsidRPr="00390F9A" w:rsidRDefault="007D10B0" w:rsidP="00B04217">
      <w:pPr>
        <w:spacing w:before="29" w:line="288" w:lineRule="auto"/>
        <w:rPr>
          <w:b/>
          <w:color w:val="000000"/>
          <w:kern w:val="0"/>
          <w:sz w:val="24"/>
        </w:rPr>
      </w:pPr>
      <w:bookmarkStart w:id="1" w:name="_GoBack"/>
      <w:r w:rsidRPr="00390F9A">
        <w:rPr>
          <w:b/>
          <w:kern w:val="0"/>
          <w:sz w:val="24"/>
        </w:rPr>
        <w:t>5.12.6</w:t>
      </w:r>
      <w:r w:rsidR="00A40C1C" w:rsidRPr="00390F9A">
        <w:rPr>
          <w:b/>
          <w:color w:val="000000"/>
          <w:kern w:val="0"/>
          <w:sz w:val="24"/>
        </w:rPr>
        <w:t>投资组合报告附注的其他文字描述部分</w:t>
      </w:r>
    </w:p>
    <w:bookmarkEnd w:id="1"/>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F6209F">
      <w:pPr>
        <w:pStyle w:val="1"/>
        <w:spacing w:beforeLines="100" w:afterLines="100" w:line="288" w:lineRule="auto"/>
        <w:jc w:val="center"/>
        <w:rPr>
          <w:kern w:val="0"/>
          <w:sz w:val="24"/>
          <w:szCs w:val="24"/>
        </w:rPr>
      </w:pPr>
      <w:r w:rsidRPr="00C51B4E">
        <w:rPr>
          <w:rFonts w:eastAsiaTheme="minorEastAsia"/>
          <w:color w:val="000000" w:themeColor="text1"/>
          <w:kern w:val="0"/>
          <w:sz w:val="21"/>
          <w:szCs w:val="21"/>
        </w:rPr>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46,271,708.21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6,390,871.09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10,955,777.64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41,706,801.66</w:t>
            </w:r>
          </w:p>
        </w:tc>
      </w:tr>
    </w:tbl>
    <w:p w:rsidR="00A22B62" w:rsidRDefault="00F6209F">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F6209F">
      <w:pPr>
        <w:pStyle w:val="1"/>
        <w:tabs>
          <w:tab w:val="center" w:pos="4156"/>
          <w:tab w:val="right" w:pos="8312"/>
        </w:tabs>
        <w:spacing w:beforeLines="100" w:afterLines="100"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31.46</w:t>
            </w:r>
          </w:p>
        </w:tc>
      </w:tr>
    </w:tbl>
    <w:p w:rsidR="00A22B62" w:rsidRDefault="00F6209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F6209F">
      <w:pPr>
        <w:pStyle w:val="1"/>
        <w:spacing w:beforeLines="100" w:afterLines="10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696A7B" w:rsidTr="00F6209F">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F6209F">
        <w:tc>
          <w:tcPr>
            <w:tcW w:w="992"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A22B62">
        <w:tc>
          <w:tcPr>
            <w:tcW w:w="992" w:type="dxa"/>
          </w:tcPr>
          <w:p w:rsidR="00A22B62" w:rsidRDefault="00A22B62"/>
          <w:p w:rsidR="00A22B62" w:rsidRDefault="00F6209F">
            <w:r>
              <w:rPr>
                <w:rFonts w:ascii="宋体" w:hAnsi="宋体" w:hint="eastAsia"/>
                <w:bCs/>
                <w:color w:val="000000"/>
                <w:kern w:val="0"/>
                <w:sz w:val="24"/>
              </w:rPr>
              <w:t>机构</w:t>
            </w:r>
          </w:p>
        </w:tc>
        <w:tc>
          <w:tcPr>
            <w:tcW w:w="991" w:type="dxa"/>
            <w:vAlign w:val="center"/>
          </w:tcPr>
          <w:p w:rsidR="00A22B62" w:rsidRDefault="00F6209F">
            <w:pPr>
              <w:jc w:val="center"/>
            </w:pPr>
            <w:r>
              <w:rPr>
                <w:rFonts w:ascii="宋体" w:hAnsi="宋体" w:hint="eastAsia"/>
                <w:color w:val="000000"/>
                <w:kern w:val="0"/>
                <w:sz w:val="24"/>
              </w:rPr>
              <w:t>1</w:t>
            </w:r>
          </w:p>
        </w:tc>
        <w:tc>
          <w:tcPr>
            <w:tcW w:w="1843" w:type="dxa"/>
            <w:vAlign w:val="center"/>
          </w:tcPr>
          <w:p w:rsidR="00A22B62" w:rsidRDefault="00F6209F">
            <w:pPr>
              <w:jc w:val="center"/>
            </w:pPr>
            <w:r>
              <w:rPr>
                <w:rFonts w:ascii="宋体" w:hAnsi="宋体" w:hint="eastAsia"/>
                <w:color w:val="000000"/>
                <w:kern w:val="0"/>
                <w:sz w:val="24"/>
              </w:rPr>
              <w:t>2019/7/1-2019/9/30</w:t>
            </w:r>
          </w:p>
        </w:tc>
        <w:tc>
          <w:tcPr>
            <w:tcW w:w="851" w:type="dxa"/>
            <w:vAlign w:val="center"/>
          </w:tcPr>
          <w:p w:rsidR="00A22B62" w:rsidRDefault="00F6209F">
            <w:pPr>
              <w:jc w:val="center"/>
            </w:pPr>
            <w:r>
              <w:rPr>
                <w:rFonts w:ascii="宋体" w:hAnsi="宋体" w:hint="eastAsia"/>
                <w:color w:val="000000"/>
                <w:kern w:val="0"/>
                <w:sz w:val="24"/>
              </w:rPr>
              <w:t>13,122,703.41</w:t>
            </w:r>
          </w:p>
        </w:tc>
        <w:tc>
          <w:tcPr>
            <w:tcW w:w="850" w:type="dxa"/>
            <w:vAlign w:val="center"/>
          </w:tcPr>
          <w:p w:rsidR="00A22B62" w:rsidRDefault="00F6209F">
            <w:pPr>
              <w:jc w:val="center"/>
            </w:pPr>
            <w:r>
              <w:rPr>
                <w:rFonts w:ascii="宋体" w:hAnsi="宋体" w:hint="eastAsia"/>
                <w:color w:val="000000"/>
                <w:kern w:val="0"/>
                <w:sz w:val="24"/>
              </w:rPr>
              <w:t>-</w:t>
            </w:r>
          </w:p>
        </w:tc>
        <w:tc>
          <w:tcPr>
            <w:tcW w:w="1134" w:type="dxa"/>
            <w:vAlign w:val="center"/>
          </w:tcPr>
          <w:p w:rsidR="00A22B62" w:rsidRDefault="00F6209F">
            <w:pPr>
              <w:jc w:val="center"/>
            </w:pPr>
            <w:r>
              <w:rPr>
                <w:rFonts w:ascii="宋体" w:hAnsi="宋体" w:hint="eastAsia"/>
                <w:color w:val="000000"/>
                <w:kern w:val="0"/>
                <w:sz w:val="24"/>
              </w:rPr>
              <w:t>-</w:t>
            </w:r>
          </w:p>
        </w:tc>
        <w:tc>
          <w:tcPr>
            <w:tcW w:w="1419" w:type="dxa"/>
            <w:vAlign w:val="center"/>
          </w:tcPr>
          <w:p w:rsidR="00A22B62" w:rsidRDefault="00F6209F">
            <w:pPr>
              <w:jc w:val="center"/>
            </w:pPr>
            <w:r>
              <w:rPr>
                <w:rFonts w:ascii="宋体" w:hAnsi="宋体" w:hint="eastAsia"/>
                <w:color w:val="000000"/>
                <w:kern w:val="0"/>
                <w:sz w:val="24"/>
              </w:rPr>
              <w:t>13,122,703.41</w:t>
            </w:r>
          </w:p>
        </w:tc>
        <w:tc>
          <w:tcPr>
            <w:tcW w:w="1130" w:type="dxa"/>
            <w:vAlign w:val="center"/>
          </w:tcPr>
          <w:p w:rsidR="00A22B62" w:rsidRDefault="00F6209F">
            <w:pPr>
              <w:jc w:val="center"/>
            </w:pPr>
            <w:r>
              <w:rPr>
                <w:rFonts w:ascii="宋体" w:hAnsi="宋体" w:hint="eastAsia"/>
                <w:color w:val="000000"/>
                <w:kern w:val="0"/>
                <w:sz w:val="24"/>
              </w:rPr>
              <w:t>31.46%</w:t>
            </w:r>
          </w:p>
        </w:tc>
      </w:tr>
      <w:tr w:rsidR="00696A7B" w:rsidTr="00F6209F">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F6209F">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F6209F">
      <w:pPr>
        <w:pStyle w:val="1"/>
        <w:spacing w:beforeLines="100" w:afterLines="100" w:line="288" w:lineRule="auto"/>
        <w:jc w:val="center"/>
        <w:rPr>
          <w:kern w:val="0"/>
          <w:sz w:val="24"/>
          <w:szCs w:val="24"/>
        </w:rPr>
      </w:pPr>
      <w:r w:rsidRPr="00324C76">
        <w:rPr>
          <w:kern w:val="0"/>
          <w:sz w:val="24"/>
          <w:szCs w:val="24"/>
        </w:rPr>
        <w:t>§</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A22B62" w:rsidRDefault="00F6209F">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22B62" w:rsidRDefault="00F6209F">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22B62" w:rsidRDefault="00F6209F">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22B62" w:rsidRDefault="00F6209F">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22B62" w:rsidRDefault="00F6209F">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22B62" w:rsidRDefault="00F6209F">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22B62" w:rsidRDefault="00F6209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A22B62" w:rsidRDefault="00F6209F">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75" w:rsidRDefault="00A66E75">
      <w:r>
        <w:separator/>
      </w:r>
    </w:p>
  </w:endnote>
  <w:endnote w:type="continuationSeparator" w:id="0">
    <w:p w:rsidR="00A66E75" w:rsidRDefault="00A66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0A" w:rsidRDefault="00BA17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A22B62">
      <w:rPr>
        <w:kern w:val="0"/>
        <w:szCs w:val="21"/>
      </w:rPr>
      <w:fldChar w:fldCharType="begin"/>
    </w:r>
    <w:r>
      <w:rPr>
        <w:kern w:val="0"/>
        <w:szCs w:val="21"/>
      </w:rPr>
      <w:instrText xml:space="preserve"> PAGE </w:instrText>
    </w:r>
    <w:r w:rsidR="00A22B62">
      <w:rPr>
        <w:kern w:val="0"/>
        <w:szCs w:val="21"/>
      </w:rPr>
      <w:fldChar w:fldCharType="separate"/>
    </w:r>
    <w:r w:rsidR="00F6209F">
      <w:rPr>
        <w:noProof/>
        <w:kern w:val="0"/>
        <w:szCs w:val="21"/>
      </w:rPr>
      <w:t>13</w:t>
    </w:r>
    <w:r w:rsidR="00A22B62">
      <w:rPr>
        <w:kern w:val="0"/>
        <w:szCs w:val="21"/>
      </w:rPr>
      <w:fldChar w:fldCharType="end"/>
    </w:r>
    <w:r>
      <w:rPr>
        <w:rFonts w:hint="eastAsia"/>
        <w:kern w:val="0"/>
        <w:szCs w:val="21"/>
      </w:rPr>
      <w:t>页共</w:t>
    </w:r>
    <w:r w:rsidR="00A22B62">
      <w:rPr>
        <w:kern w:val="0"/>
        <w:szCs w:val="21"/>
      </w:rPr>
      <w:fldChar w:fldCharType="begin"/>
    </w:r>
    <w:r>
      <w:rPr>
        <w:kern w:val="0"/>
        <w:szCs w:val="21"/>
      </w:rPr>
      <w:instrText xml:space="preserve"> NUMPAGES </w:instrText>
    </w:r>
    <w:r w:rsidR="00A22B62">
      <w:rPr>
        <w:kern w:val="0"/>
        <w:szCs w:val="21"/>
      </w:rPr>
      <w:fldChar w:fldCharType="separate"/>
    </w:r>
    <w:r w:rsidR="00F6209F">
      <w:rPr>
        <w:noProof/>
        <w:kern w:val="0"/>
        <w:szCs w:val="21"/>
      </w:rPr>
      <w:t>14</w:t>
    </w:r>
    <w:r w:rsidR="00A22B62">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0A" w:rsidRDefault="00BA170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A22B62">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75" w:rsidRDefault="00A66E75">
      <w:r>
        <w:separator/>
      </w:r>
    </w:p>
  </w:footnote>
  <w:footnote w:type="continuationSeparator" w:id="0">
    <w:p w:rsidR="00A66E75" w:rsidRDefault="00A66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0A" w:rsidRDefault="00BA170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0A" w:rsidRDefault="00BA170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B62"/>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209F"/>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408F-3809-4193-9C16-F8B420F3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348</TotalTime>
  <Pages>14</Pages>
  <Words>6011</Words>
  <Characters>1753</Characters>
  <Application>Microsoft Office Word</Application>
  <DocSecurity>0</DocSecurity>
  <Lines>14</Lines>
  <Paragraphs>15</Paragraphs>
  <ScaleCrop>false</ScaleCrop>
  <Company>TRT. Ltd. Co.</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biz-taoyinlong</cp:lastModifiedBy>
  <cp:revision>427</cp:revision>
  <cp:lastPrinted>2007-07-19T00:46:00Z</cp:lastPrinted>
  <dcterms:created xsi:type="dcterms:W3CDTF">2012-11-13T02:08:00Z</dcterms:created>
  <dcterms:modified xsi:type="dcterms:W3CDTF">2019-10-18T02:26:00Z</dcterms:modified>
</cp:coreProperties>
</file>