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交银施罗德裕如纯债债券型证券投资基金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浙商银行股份有限公司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基金托管人浙商银行股份有限公司根据本基金合同规定，于2019年10月21日复核了本报告中的财务指标、净值表现和投资组合报告等内容，保证复核内容不存在虚假记载、误导性陈述或者重大遗漏。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交银裕如纯债债券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005972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2018年5月25日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4,285,942,986.08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浙商银行股份有限公司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交银裕如纯债债券A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交银裕如纯债债券C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005972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005973</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4,285,942,986.08</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注：本基金C类份额为0。</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(2019年7月1日-2019年9月30日)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交银裕如纯债债券A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交银裕如纯债债券C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37,300,299.43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41,986,056.81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0.0103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4,408,934,846.89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1.0287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1.0000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3、本基金C类份额为0。</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交银裕如纯债债券A</w:t>
      </w:r>
      <w:r w:rsidRPr="007F52FA">
        <w:rPr>
          <w:b/>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1.02%</w:t>
            </w:r>
          </w:p>
        </w:tc>
        <w:tc>
          <w:tcPr>
            <w:vAlign w:val="center"/>
          </w:tcPr>
          <w:p>
            <w:pPr>
              <w:jc w:val="center"/>
            </w:pPr>
            <w:r>
              <w:rPr>
                <w:color w:val="000000"/>
                <w:sz w:val="24"/>
              </w:rPr>
              <w:t>0.03%</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0.57%</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交银裕如纯债债券C</w:t>
      </w:r>
      <w:r w:rsidRPr="007F52FA">
        <w:rPr>
          <w:b/>
          <w:color w:val="000000"/>
          <w:kern w:val="0"/>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c>
          <w:tcPr>
            <w:vAlign w:val="center"/>
          </w:tcPr>
          <w:p>
            <w:pPr>
              <w:jc w:val="center"/>
            </w:pPr>
            <w:r>
              <w:rPr>
                <w:color w:val="000000"/>
                <w:sz w:val="24"/>
              </w:rPr>
              <w:t>-</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交银施罗德裕如纯债债券型证券投资基金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2018年5月25日</w:t>
      </w:r>
      <w:r w:rsidR="009A045B" w:rsidRPr="007F52FA">
        <w:rPr>
          <w:rFonts w:ascii="Times New Roman" w:hAnsi="Times New Roman"/>
          <w:sz w:val="24"/>
          <w:szCs w:val="24"/>
        </w:rPr>
        <w:t>至</w:t>
      </w:r>
      <w:r w:rsidRPr="007F52FA">
        <w:rPr>
          <w:rFonts w:ascii="Times New Roman" w:hAnsi="Times New Roman"/>
          <w:sz w:val="24"/>
          <w:szCs w:val="24"/>
        </w:rPr>
        <w:t>2019年9月30日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交银裕如纯债债券A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2018年5月25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交银裕如纯债债券C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注：本基金C类份额为0。</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交银增利债券、交银纯债债券发起、交银丰盈收益债券、交银丰晟收益债券、交银裕如纯债债券的基金经理，公司固定收益（公募）投资总监</w:t>
            </w:r>
          </w:p>
        </w:tc>
        <w:tc>
          <w:tcPr>
            <w:vAlign w:val="center"/>
          </w:tcPr>
          <w:p>
            <w:pPr>
              <w:jc w:val="center"/>
            </w:pPr>
            <w:r>
              <w:rPr>
                <w:color w:val="000000"/>
                <w:sz w:val="24"/>
              </w:rPr>
              <w:t>2018-05-25</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荣鑫保本混合型证券投资基金的基金经理。2017年6月10日至2019年3月14日担任交银施罗德荣祥保本混合型证券投资基金的基金经理。2017年6月10日至2019年3月14日担任交银施罗德定期支付月月丰债券型证券投资基金的基金经理。2017年6月10日至2019年3月14日担任交银施罗德强化回报债券型证券投资基金的基金经理。2017年6月10日至2019年3月14日担任交银施罗德增利增强债券型证券投资基金的基金经理。2017年6月10日至2019年3月14日担任交银施罗德增强收益债券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 xml:space="preserve">本报告期内，债券市场收益率前期在避险策略的带动下出现了持续下行，后受到经济数据和通胀预期的影响，出现小幅回调，活跃十年国债收益率自七月初一路走低，八月中旬破3%，后再度小幅上行，整体收益率水平呈现一定波动。七月，债市收益率在宽松预期、国内外经济数据低预期以及海外风险的共振下震荡走低，但同时受到通胀预期等因素的影响，叠加资金面的波动，债市全月的收益率走势呈现震荡格局。八月在国内经济数据低于预期、贸易争端以及人民币汇率破7等事件催化下，债券市场收益率呈现快速下行，十年国债一度破3%，但九月后，随着稳增长预期升温、通胀担忧加剧以及资金面紧平衡等因素叠加出现，债券市场出现了一定调整。 </w:t>
      </w:r>
    </w:p>
    <w:p>
      <w:pPr>
        <w:spacing w:before="29" w:line="288" w:lineRule="auto"/>
        <w:ind w:firstLine="480" w:firstLineChars="200"/>
        <w:rPr>
          <w:color w:val="000000"/>
          <w:sz w:val="24"/>
        </w:rPr>
      </w:pPr>
      <w:r>
        <w:rPr>
          <w:color w:val="000000"/>
          <w:sz w:val="24"/>
        </w:rPr>
        <w:t>我们认为，三季度在经济下行压力下，债市存在一定的配置机会，因此在季度初期的组合操作中，组合根据债市收益率变化积极增加底仓久期，同时根据规模的波动动态加强组合的配置力度，在综合考虑静态收益和曲线形态的基础上，择机进行了部分中等期限利率债品种的配置，随后随着临近季度末的资金面的波动和市场收益率水平，组合在融资成本抬升的情况下，组合适度的降低了杠杆，同时减持了部分期限较短的利率债品种。</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四季度，经济基本面下行压力仍然存在，经济内生企稳动力不强，而尽管宏观逆周期调控政策底线思维，但地产和基建发力始终受到种种限制，因此收益率仍存在一定的下行基础，但是临近年末，对于通胀压力的担忧和由此引发的货币政策边际变化将是短期关注重点，组合方面，我们将视融资成本及市场收益率变动情况择机进行组合内部的结构调整，保持组合久期的灵活性，根据资金面的波动情况动态调节杠杆水平，通过久期操作和精选个券提升组合静态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6"/>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5,465,294,000.00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98.51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5,465,294,000.00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98.51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3,571,274.88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79,063,675.15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5,547,928,950.03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5,465,294,000.00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123.96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5,465,294,000.00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123.96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5,465,294,000.00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123.96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6"/>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180212</w:t>
            </w:r>
          </w:p>
        </w:tc>
        <w:tc>
          <w:tcPr>
            <w:vAlign w:val="center"/>
          </w:tcPr>
          <w:p>
            <w:pPr>
              <w:jc w:val="center"/>
            </w:pPr>
            <w:r>
              <w:rPr>
                <w:color w:val="000000"/>
                <w:sz w:val="24"/>
              </w:rPr>
              <w:t>18国开12</w:t>
            </w:r>
          </w:p>
        </w:tc>
        <w:tc>
          <w:tcPr>
            <w:vAlign w:val="center"/>
          </w:tcPr>
          <w:p>
            <w:pPr>
              <w:jc w:val="right"/>
            </w:pPr>
            <w:r>
              <w:rPr>
                <w:color w:val="000000"/>
                <w:sz w:val="24"/>
              </w:rPr>
              <w:t>10,000,000</w:t>
            </w:r>
          </w:p>
        </w:tc>
        <w:tc>
          <w:tcPr>
            <w:vAlign w:val="center"/>
          </w:tcPr>
          <w:p>
            <w:pPr>
              <w:jc w:val="right"/>
            </w:pPr>
            <w:r>
              <w:rPr>
                <w:color w:val="000000"/>
                <w:sz w:val="24"/>
              </w:rPr>
              <w:t>1,013,400,000.00</w:t>
            </w:r>
          </w:p>
        </w:tc>
        <w:tc>
          <w:tcPr>
            <w:vAlign w:val="center"/>
          </w:tcPr>
          <w:p>
            <w:pPr>
              <w:jc w:val="right"/>
            </w:pPr>
            <w:r>
              <w:rPr>
                <w:color w:val="000000"/>
                <w:sz w:val="24"/>
              </w:rPr>
              <w:t>22.99</w:t>
            </w:r>
          </w:p>
        </w:tc>
      </w:tr>
      <w:tr>
        <w:tc>
          <w:tcPr>
            <w:vAlign w:val="center"/>
          </w:tcPr>
          <w:p>
            <w:pPr>
              <w:jc w:val="center"/>
            </w:pPr>
            <w:r>
              <w:rPr>
                <w:color w:val="000000"/>
                <w:sz w:val="24"/>
              </w:rPr>
              <w:t>2</w:t>
            </w:r>
          </w:p>
        </w:tc>
        <w:tc>
          <w:tcPr>
            <w:vAlign w:val="center"/>
          </w:tcPr>
          <w:p>
            <w:pPr>
              <w:jc w:val="center"/>
            </w:pPr>
            <w:r>
              <w:rPr>
                <w:color w:val="000000"/>
                <w:sz w:val="24"/>
              </w:rPr>
              <w:t>180208</w:t>
            </w:r>
          </w:p>
        </w:tc>
        <w:tc>
          <w:tcPr>
            <w:vAlign w:val="center"/>
          </w:tcPr>
          <w:p>
            <w:pPr>
              <w:jc w:val="center"/>
            </w:pPr>
            <w:r>
              <w:rPr>
                <w:color w:val="000000"/>
                <w:sz w:val="24"/>
              </w:rPr>
              <w:t>18国开08</w:t>
            </w:r>
          </w:p>
        </w:tc>
        <w:tc>
          <w:tcPr>
            <w:vAlign w:val="center"/>
          </w:tcPr>
          <w:p>
            <w:pPr>
              <w:jc w:val="right"/>
            </w:pPr>
            <w:r>
              <w:rPr>
                <w:color w:val="000000"/>
                <w:sz w:val="24"/>
              </w:rPr>
              <w:t>9,500,000</w:t>
            </w:r>
          </w:p>
        </w:tc>
        <w:tc>
          <w:tcPr>
            <w:vAlign w:val="center"/>
          </w:tcPr>
          <w:p>
            <w:pPr>
              <w:jc w:val="right"/>
            </w:pPr>
            <w:r>
              <w:rPr>
                <w:color w:val="000000"/>
                <w:sz w:val="24"/>
              </w:rPr>
              <w:t>966,435,000.00</w:t>
            </w:r>
          </w:p>
        </w:tc>
        <w:tc>
          <w:tcPr>
            <w:vAlign w:val="center"/>
          </w:tcPr>
          <w:p>
            <w:pPr>
              <w:jc w:val="right"/>
            </w:pPr>
            <w:r>
              <w:rPr>
                <w:color w:val="000000"/>
                <w:sz w:val="24"/>
              </w:rPr>
              <w:t>21.92</w:t>
            </w:r>
          </w:p>
        </w:tc>
      </w:tr>
      <w:tr>
        <w:tc>
          <w:tcPr>
            <w:vAlign w:val="center"/>
          </w:tcPr>
          <w:p>
            <w:pPr>
              <w:jc w:val="center"/>
            </w:pPr>
            <w:r>
              <w:rPr>
                <w:color w:val="000000"/>
                <w:sz w:val="24"/>
              </w:rPr>
              <w:t>3</w:t>
            </w:r>
          </w:p>
        </w:tc>
        <w:tc>
          <w:tcPr>
            <w:vAlign w:val="center"/>
          </w:tcPr>
          <w:p>
            <w:pPr>
              <w:jc w:val="center"/>
            </w:pPr>
            <w:r>
              <w:rPr>
                <w:color w:val="000000"/>
                <w:sz w:val="24"/>
              </w:rPr>
              <w:t>180204</w:t>
            </w:r>
          </w:p>
        </w:tc>
        <w:tc>
          <w:tcPr>
            <w:vAlign w:val="center"/>
          </w:tcPr>
          <w:p>
            <w:pPr>
              <w:jc w:val="center"/>
            </w:pPr>
            <w:r>
              <w:rPr>
                <w:color w:val="000000"/>
                <w:sz w:val="24"/>
              </w:rPr>
              <w:t>18国开04</w:t>
            </w:r>
          </w:p>
        </w:tc>
        <w:tc>
          <w:tcPr>
            <w:vAlign w:val="center"/>
          </w:tcPr>
          <w:p>
            <w:pPr>
              <w:jc w:val="right"/>
            </w:pPr>
            <w:r>
              <w:rPr>
                <w:color w:val="000000"/>
                <w:sz w:val="24"/>
              </w:rPr>
              <w:t>7,000,000</w:t>
            </w:r>
          </w:p>
        </w:tc>
        <w:tc>
          <w:tcPr>
            <w:vAlign w:val="center"/>
          </w:tcPr>
          <w:p>
            <w:pPr>
              <w:jc w:val="right"/>
            </w:pPr>
            <w:r>
              <w:rPr>
                <w:color w:val="000000"/>
                <w:sz w:val="24"/>
              </w:rPr>
              <w:t>732,760,000.00</w:t>
            </w:r>
          </w:p>
        </w:tc>
        <w:tc>
          <w:tcPr>
            <w:vAlign w:val="center"/>
          </w:tcPr>
          <w:p>
            <w:pPr>
              <w:jc w:val="right"/>
            </w:pPr>
            <w:r>
              <w:rPr>
                <w:color w:val="000000"/>
                <w:sz w:val="24"/>
              </w:rPr>
              <w:t>16.62</w:t>
            </w:r>
          </w:p>
        </w:tc>
      </w:tr>
      <w:tr>
        <w:tc>
          <w:tcPr>
            <w:vAlign w:val="center"/>
          </w:tcPr>
          <w:p>
            <w:pPr>
              <w:jc w:val="center"/>
            </w:pPr>
            <w:r>
              <w:rPr>
                <w:color w:val="000000"/>
                <w:sz w:val="24"/>
              </w:rPr>
              <w:t>4</w:t>
            </w:r>
          </w:p>
        </w:tc>
        <w:tc>
          <w:tcPr>
            <w:vAlign w:val="center"/>
          </w:tcPr>
          <w:p>
            <w:pPr>
              <w:jc w:val="center"/>
            </w:pPr>
            <w:r>
              <w:rPr>
                <w:color w:val="000000"/>
                <w:sz w:val="24"/>
              </w:rPr>
              <w:t>190202</w:t>
            </w:r>
          </w:p>
        </w:tc>
        <w:tc>
          <w:tcPr>
            <w:vAlign w:val="center"/>
          </w:tcPr>
          <w:p>
            <w:pPr>
              <w:jc w:val="center"/>
            </w:pPr>
            <w:r>
              <w:rPr>
                <w:color w:val="000000"/>
                <w:sz w:val="24"/>
              </w:rPr>
              <w:t>19国开02</w:t>
            </w:r>
          </w:p>
        </w:tc>
        <w:tc>
          <w:tcPr>
            <w:vAlign w:val="center"/>
          </w:tcPr>
          <w:p>
            <w:pPr>
              <w:jc w:val="right"/>
            </w:pPr>
            <w:r>
              <w:rPr>
                <w:color w:val="000000"/>
                <w:sz w:val="24"/>
              </w:rPr>
              <w:t>7,000,000</w:t>
            </w:r>
          </w:p>
        </w:tc>
        <w:tc>
          <w:tcPr>
            <w:vAlign w:val="center"/>
          </w:tcPr>
          <w:p>
            <w:pPr>
              <w:jc w:val="right"/>
            </w:pPr>
            <w:r>
              <w:rPr>
                <w:color w:val="000000"/>
                <w:sz w:val="24"/>
              </w:rPr>
              <w:t>700,140,000.00</w:t>
            </w:r>
          </w:p>
        </w:tc>
        <w:tc>
          <w:tcPr>
            <w:vAlign w:val="center"/>
          </w:tcPr>
          <w:p>
            <w:pPr>
              <w:jc w:val="right"/>
            </w:pPr>
            <w:r>
              <w:rPr>
                <w:color w:val="000000"/>
                <w:sz w:val="24"/>
              </w:rPr>
              <w:t>15.88</w:t>
            </w:r>
          </w:p>
        </w:tc>
      </w:tr>
      <w:tr>
        <w:tc>
          <w:tcPr>
            <w:vAlign w:val="center"/>
          </w:tcPr>
          <w:p>
            <w:pPr>
              <w:jc w:val="center"/>
            </w:pPr>
            <w:r>
              <w:rPr>
                <w:color w:val="000000"/>
                <w:sz w:val="24"/>
              </w:rPr>
              <w:t>5</w:t>
            </w:r>
          </w:p>
        </w:tc>
        <w:tc>
          <w:tcPr>
            <w:vAlign w:val="center"/>
          </w:tcPr>
          <w:p>
            <w:pPr>
              <w:jc w:val="center"/>
            </w:pPr>
            <w:r>
              <w:rPr>
                <w:color w:val="000000"/>
                <w:sz w:val="24"/>
              </w:rPr>
              <w:t>180211</w:t>
            </w:r>
          </w:p>
        </w:tc>
        <w:tc>
          <w:tcPr>
            <w:vAlign w:val="center"/>
          </w:tcPr>
          <w:p>
            <w:pPr>
              <w:jc w:val="center"/>
            </w:pPr>
            <w:r>
              <w:rPr>
                <w:color w:val="000000"/>
                <w:sz w:val="24"/>
              </w:rPr>
              <w:t>18国开11</w:t>
            </w:r>
          </w:p>
        </w:tc>
        <w:tc>
          <w:tcPr>
            <w:vAlign w:val="center"/>
          </w:tcPr>
          <w:p>
            <w:pPr>
              <w:jc w:val="right"/>
            </w:pPr>
            <w:r>
              <w:rPr>
                <w:color w:val="000000"/>
                <w:sz w:val="24"/>
              </w:rPr>
              <w:t>4,000,000</w:t>
            </w:r>
          </w:p>
        </w:tc>
        <w:tc>
          <w:tcPr>
            <w:vAlign w:val="center"/>
          </w:tcPr>
          <w:p>
            <w:pPr>
              <w:jc w:val="right"/>
            </w:pPr>
            <w:r>
              <w:rPr>
                <w:color w:val="000000"/>
                <w:sz w:val="24"/>
              </w:rPr>
              <w:t>406,080,000.00</w:t>
            </w:r>
          </w:p>
        </w:tc>
        <w:tc>
          <w:tcPr>
            <w:vAlign w:val="center"/>
          </w:tcPr>
          <w:p>
            <w:pPr>
              <w:jc w:val="right"/>
            </w:pPr>
            <w:r>
              <w:rPr>
                <w:color w:val="000000"/>
                <w:sz w:val="24"/>
              </w:rPr>
              <w:t>9.21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6"/>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74,583.64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78,989,090.51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79,063,675.15</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交银裕如纯债债券A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交银裕如纯债债券C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3,659,998,747.13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625,944,674.71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435.76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4,285,942,986.08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779,027,014.65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779,027,014.65</w:t>
            </w:r>
          </w:p>
        </w:tc>
        <w:tc>
          <w:tcPr>
            <w:vAlign w:val="center"/>
          </w:tcPr>
          <w:p>
            <w:pPr>
              <w:jc w:val="center"/>
            </w:pPr>
            <w:r>
              <w:rPr>
                <w:rFonts w:ascii="宋体" w:hAnsi="宋体" w:hint="eastAsia"/>
                <w:color w:val="000000"/>
                <w:kern w:val="0"/>
                <w:szCs w:val="21"/>
              </w:rPr>
              <w:t>18.18%</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1、中国证监会准予交银施罗德裕如纯债债券型证券投资基金募集注册的文件；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2、《交银施罗德裕如纯债债券型证券投资基金基金合同》；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3、《交银施罗德裕如纯债债券型证券投资基金招募说明书》；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4、《交银施罗德裕如纯债债券型证券投资基金托管协议》；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5、关于申请募集注册交银施罗德裕如纯债债券型证券投资基金的法律意见书；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8、报告期内交银施罗德裕如纯债债券型证券投资基金在指定报刊上各项公告的原稿。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F7094A" w:rsidR="007F50FB" w:rsidRDefault="007F50FB" w:rsidRPr="001D0DB0">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43E9C">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43E9C">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F50FB" w:rsidRDefault="0042114A">
    <w:pPr>
      <w:pStyle w:val="a7"/>
      <w:framePr w:hAnchor="margin" w:vAnchor="text" w:wrap="around"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R="000A2E22" w:rsidRDefault="000A2E22">
      <w:r>
        <w:separator/>
      </w:r>
    </w:p>
  </w:footnote>
  <w:footnote w:id="0" w:type="continuationSeparator">
    <w:p w:rsidR="000A2E22" w:rsidRDefault="000A2E22">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交银施罗德裕如纯债债券型证券投资基金2019年第3季度报告</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7"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0"/>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7" w:type="paragraph">
    <w:name w:val="footer"/>
    <w:basedOn w:val="a"/>
    <w:rsid w:val="006A4828"/>
    <w:pPr>
      <w:tabs>
        <w:tab w:pos="4153" w:val="center"/>
        <w:tab w:pos="8306" w:val="right"/>
      </w:tabs>
      <w:snapToGrid w:val="0"/>
      <w:jc w:val="left"/>
    </w:pPr>
    <w:rPr>
      <w:sz w:val="18"/>
      <w:szCs w:val="18"/>
    </w:rPr>
  </w:style>
  <w:style w:styleId="a8" w:type="character">
    <w:name w:val="page number"/>
    <w:basedOn w:val="a1"/>
    <w:rsid w:val="006A4828"/>
  </w:style>
  <w:style w:styleId="a9"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a" w:type="paragraph">
    <w:name w:val="header"/>
    <w:basedOn w:val="a"/>
    <w:link w:val="ab"/>
    <w:uiPriority w:val="99"/>
    <w:rsid w:val="006A4828"/>
    <w:pPr>
      <w:pBdr>
        <w:bottom w:color="auto" w:space="1" w:sz="6" w:val="single"/>
      </w:pBdr>
      <w:tabs>
        <w:tab w:pos="4153" w:val="center"/>
        <w:tab w:pos="8306" w:val="right"/>
      </w:tabs>
      <w:snapToGrid w:val="0"/>
      <w:jc w:val="center"/>
    </w:pPr>
    <w:rPr>
      <w:sz w:val="18"/>
      <w:szCs w:val="18"/>
    </w:rPr>
  </w:style>
  <w:style w:customStyle="1" w:styleId="11" w:type="character">
    <w:name w:val="已访问的超链接1"/>
    <w:basedOn w:val="a1"/>
    <w:rsid w:val="006A4828"/>
    <w:rPr>
      <w:color w:val="800080"/>
      <w:u w:val="single"/>
    </w:rPr>
  </w:style>
  <w:style w:styleId="ac" w:type="paragraph">
    <w:name w:val="List"/>
    <w:basedOn w:val="ad"/>
    <w:rsid w:val="006A4828"/>
    <w:pPr>
      <w:spacing w:after="220" w:line="220" w:lineRule="atLeast"/>
      <w:ind w:hanging="360" w:left="1440"/>
    </w:pPr>
    <w:rPr>
      <w:szCs w:val="20"/>
    </w:rPr>
  </w:style>
  <w:style w:styleId="ad" w:type="paragraph">
    <w:name w:val="Body Text"/>
    <w:basedOn w:val="a"/>
    <w:rsid w:val="006A4828"/>
    <w:pPr>
      <w:spacing w:after="120"/>
    </w:pPr>
  </w:style>
  <w:style w:styleId="ae" w:type="paragraph">
    <w:name w:val="Date"/>
    <w:basedOn w:val="a"/>
    <w:next w:val="a"/>
    <w:link w:val="af"/>
    <w:rsid w:val="006A4828"/>
    <w:rPr>
      <w:sz w:val="24"/>
      <w:szCs w:val="20"/>
    </w:rPr>
  </w:style>
  <w:style w:customStyle="1" w:styleId="c1" w:type="character">
    <w:name w:val="c1"/>
    <w:basedOn w:val="a1"/>
    <w:rsid w:val="006A4828"/>
    <w:rPr>
      <w:color w:val="000000"/>
      <w:sz w:val="18"/>
      <w:szCs w:val="18"/>
    </w:rPr>
  </w:style>
  <w:style w:styleId="12"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0" w:type="paragraph">
    <w:name w:val="Balloon Text"/>
    <w:basedOn w:val="a"/>
    <w:semiHidden/>
    <w:rsid w:val="006A4828"/>
    <w:rPr>
      <w:sz w:val="18"/>
      <w:szCs w:val="18"/>
    </w:rPr>
  </w:style>
  <w:style w:styleId="af1" w:type="character">
    <w:name w:val="annotation reference"/>
    <w:basedOn w:val="a1"/>
    <w:uiPriority w:val="99"/>
    <w:semiHidden/>
    <w:rsid w:val="006A4828"/>
    <w:rPr>
      <w:sz w:val="21"/>
      <w:szCs w:val="21"/>
    </w:rPr>
  </w:style>
  <w:style w:styleId="af2" w:type="paragraph">
    <w:name w:val="annotation text"/>
    <w:basedOn w:val="a"/>
    <w:link w:val="af3"/>
    <w:uiPriority w:val="99"/>
    <w:semiHidden/>
    <w:rsid w:val="006A4828"/>
    <w:pPr>
      <w:jc w:val="left"/>
    </w:pPr>
  </w:style>
  <w:style w:styleId="af4" w:type="paragraph">
    <w:name w:val="annotation subject"/>
    <w:basedOn w:val="af2"/>
    <w:next w:val="af2"/>
    <w:semiHidden/>
    <w:rsid w:val="006A4828"/>
    <w:rPr>
      <w:b/>
      <w:bCs/>
    </w:rPr>
  </w:style>
  <w:style w:customStyle="1" w:styleId="Char" w:type="paragraph">
    <w:name w:val="Char"/>
    <w:basedOn w:val="a"/>
    <w:rsid w:val="006A4828"/>
  </w:style>
  <w:style w:styleId="af5" w:type="paragraph">
    <w:name w:val="Document Map"/>
    <w:basedOn w:val="a"/>
    <w:semiHidden/>
    <w:rsid w:val="000A549A"/>
    <w:pPr>
      <w:shd w:color="auto" w:fill="000080" w:val="clear"/>
    </w:pPr>
  </w:style>
  <w:style w:styleId="af6"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7" w:type="paragraph">
    <w:name w:val="footnote text"/>
    <w:basedOn w:val="a"/>
    <w:link w:val="af8"/>
    <w:rsid w:val="000B251E"/>
    <w:pPr>
      <w:snapToGrid w:val="0"/>
      <w:jc w:val="left"/>
    </w:pPr>
    <w:rPr>
      <w:sz w:val="18"/>
      <w:szCs w:val="18"/>
    </w:rPr>
  </w:style>
  <w:style w:styleId="af9" w:type="character">
    <w:name w:val="footnote reference"/>
    <w:basedOn w:val="a1"/>
    <w:rsid w:val="000B251E"/>
    <w:rPr>
      <w:vertAlign w:val="superscript"/>
    </w:rPr>
  </w:style>
  <w:style w:styleId="afa"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0"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a6" w:type="character">
    <w:name w:val="纯文本 字符"/>
    <w:basedOn w:val="a1"/>
    <w:link w:val="a5"/>
    <w:uiPriority w:val="99"/>
    <w:rsid w:val="009A045B"/>
    <w:rPr>
      <w:rFonts w:ascii="宋体" w:hAnsi="Courier New"/>
      <w:kern w:val="2"/>
      <w:sz w:val="21"/>
      <w:szCs w:val="21"/>
    </w:rPr>
  </w:style>
  <w:style w:customStyle="1" w:styleId="af8" w:type="character">
    <w:name w:val="脚注文本 字符"/>
    <w:basedOn w:val="a1"/>
    <w:link w:val="af7"/>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ab" w:type="character">
    <w:name w:val="页眉 字符"/>
    <w:basedOn w:val="a1"/>
    <w:link w:val="aa"/>
    <w:uiPriority w:val="99"/>
    <w:rsid w:val="001207F2"/>
    <w:rPr>
      <w:kern w:val="2"/>
      <w:sz w:val="18"/>
      <w:szCs w:val="18"/>
    </w:rPr>
  </w:style>
  <w:style w:customStyle="1" w:styleId="10" w:type="character">
    <w:name w:val="标题 1 字符"/>
    <w:basedOn w:val="a1"/>
    <w:link w:val="1"/>
    <w:uiPriority w:val="99"/>
    <w:rsid w:val="00180952"/>
    <w:rPr>
      <w:b/>
      <w:bCs/>
      <w:kern w:val="44"/>
      <w:sz w:val="44"/>
      <w:szCs w:val="44"/>
    </w:rPr>
  </w:style>
  <w:style w:customStyle="1" w:styleId="af" w:type="character">
    <w:name w:val="日期 字符"/>
    <w:basedOn w:val="a1"/>
    <w:link w:val="ae"/>
    <w:rsid w:val="00D66685"/>
    <w:rPr>
      <w:kern w:val="2"/>
      <w:sz w:val="24"/>
    </w:rPr>
  </w:style>
  <w:style w:styleId="afb" w:type="character">
    <w:name w:val="Strong"/>
    <w:basedOn w:val="a1"/>
    <w:uiPriority w:val="22"/>
    <w:qFormat/>
    <w:rsid w:val="00C02900"/>
    <w:rPr>
      <w:b/>
      <w:bCs/>
    </w:rPr>
  </w:style>
  <w:style w:customStyle="1" w:styleId="af3" w:type="character">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C4-DF97-4403-82EB-0D35503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27</Pages>
  <Words>4287</Words>
  <Characters>24442</Characters>
  <Application>Microsoft Office Word</Application>
  <DocSecurity>0</DocSecurity>
  <Lines>203</Lines>
  <Paragraphs>57</Paragraphs>
  <ScaleCrop>false</ScaleCrop>
  <Company>TRT. Ltd. Co.</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857040381@qq.com</cp:lastModifiedBy>
  <cp:lastPrinted>2007-07-19T00:46:00Z</cp:lastPrinted>
  <dcterms:modified xsi:type="dcterms:W3CDTF">2019-09-18T07:08:00Z</dcterms:modified>
  <cp:revision>402</cp:revision>
</cp:coreProperties>
</file>