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交银施罗德裕通纯债债券型证券投资基金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2019年第3季度报告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2019年9月30日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兴业银行股份有限公司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二〇一九年十月二十二日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基金托管人兴业银行股份有限公司根据本基金合同规定，于2019年10月21日复核了本报告中的财务指标、净值表现和投资组合报告等内容，保证复核内容不存在虚假记载、误导性陈述或者重大遗漏。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本报告期自2019年7月1日起至9月30日止。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交银裕通纯债债券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519762</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2015年12月29日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2,026,826,012.29</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在严格控制风险的基础上，通过积极主动的投资管理，追求基金资产的长期稳健增值，力争实现超越业绩比较基准的投资回报。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交银裕通纯债债券A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交银裕通纯债债券C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519762</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519763</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1,552,687,141.12</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474,138,871.17</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(2019年7月1日-2019年9月30日)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交银裕通纯债债券A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交银裕通纯债债券C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7,497,288.77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3,214,312.50</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9,295,961.05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4,424,016.58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0.0101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0.0093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1,585,406,412.61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488,254,423.91</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1.021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1.030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交银裕通纯债债券A</w:t>
      </w:r>
      <w:r w:rsidRPr="007F52FA">
        <w:rPr>
          <w:b/>
          <w:sz w:val="24"/>
        </w:rPr>
        <w:t>：</w:t>
      </w:r>
    </w:p>
    <w:tbl>
      <w:tblPr>
        <w:tblStyle w:val="af6"/>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0.99%</w:t>
            </w:r>
          </w:p>
        </w:tc>
        <w:tc>
          <w:tcPr>
            <w:vAlign w:val="center"/>
          </w:tcPr>
          <w:p>
            <w:pPr>
              <w:jc w:val="center"/>
            </w:pPr>
            <w:r>
              <w:rPr>
                <w:color w:val="000000"/>
                <w:sz w:val="24"/>
              </w:rPr>
              <w:t>0.04%</w:t>
            </w:r>
          </w:p>
        </w:tc>
        <w:tc>
          <w:tcPr>
            <w:vAlign w:val="center"/>
          </w:tcPr>
          <w:p>
            <w:pPr>
              <w:jc w:val="center"/>
            </w:pPr>
            <w:r>
              <w:rPr>
                <w:color w:val="000000"/>
                <w:sz w:val="24"/>
              </w:rPr>
              <w:t>0.45%</w:t>
            </w:r>
          </w:p>
        </w:tc>
        <w:tc>
          <w:tcPr>
            <w:vAlign w:val="center"/>
          </w:tcPr>
          <w:p>
            <w:pPr>
              <w:jc w:val="center"/>
            </w:pPr>
            <w:r>
              <w:rPr>
                <w:color w:val="000000"/>
                <w:sz w:val="24"/>
              </w:rPr>
              <w:t>0.04%</w:t>
            </w:r>
          </w:p>
        </w:tc>
        <w:tc>
          <w:tcPr>
            <w:vAlign w:val="center"/>
          </w:tcPr>
          <w:p>
            <w:pPr>
              <w:jc w:val="center"/>
            </w:pPr>
            <w:r>
              <w:rPr>
                <w:color w:val="000000"/>
                <w:sz w:val="24"/>
              </w:rPr>
              <w:t>0.54%</w:t>
            </w:r>
          </w:p>
        </w:tc>
        <w:tc>
          <w:tcPr>
            <w:vAlign w:val="center"/>
          </w:tcPr>
          <w:p>
            <w:pPr>
              <w:jc w:val="center"/>
            </w:pPr>
            <w:r>
              <w:rPr>
                <w:color w:val="000000"/>
                <w:sz w:val="24"/>
              </w:rPr>
              <w:t>0.00%</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交银裕通纯债债券C</w:t>
      </w:r>
      <w:r w:rsidRPr="007F52FA">
        <w:rPr>
          <w:b/>
          <w:color w:val="000000"/>
          <w:kern w:val="0"/>
          <w:sz w:val="24"/>
        </w:rPr>
        <w:t>：</w:t>
      </w:r>
    </w:p>
    <w:tbl>
      <w:tblPr>
        <w:tblStyle w:val="af6"/>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0.98%</w:t>
            </w:r>
          </w:p>
        </w:tc>
        <w:tc>
          <w:tcPr>
            <w:vAlign w:val="center"/>
          </w:tcPr>
          <w:p>
            <w:pPr>
              <w:jc w:val="center"/>
            </w:pPr>
            <w:r>
              <w:rPr>
                <w:color w:val="000000"/>
                <w:sz w:val="24"/>
              </w:rPr>
              <w:t>0.04%</w:t>
            </w:r>
          </w:p>
        </w:tc>
        <w:tc>
          <w:tcPr>
            <w:vAlign w:val="center"/>
          </w:tcPr>
          <w:p>
            <w:pPr>
              <w:jc w:val="center"/>
            </w:pPr>
            <w:r>
              <w:rPr>
                <w:color w:val="000000"/>
                <w:sz w:val="24"/>
              </w:rPr>
              <w:t>0.45%</w:t>
            </w:r>
          </w:p>
        </w:tc>
        <w:tc>
          <w:tcPr>
            <w:vAlign w:val="center"/>
          </w:tcPr>
          <w:p>
            <w:pPr>
              <w:jc w:val="center"/>
            </w:pPr>
            <w:r>
              <w:rPr>
                <w:color w:val="000000"/>
                <w:sz w:val="24"/>
              </w:rPr>
              <w:t>0.04%</w:t>
            </w:r>
          </w:p>
        </w:tc>
        <w:tc>
          <w:tcPr>
            <w:vAlign w:val="center"/>
          </w:tcPr>
          <w:p>
            <w:pPr>
              <w:jc w:val="center"/>
            </w:pPr>
            <w:r>
              <w:rPr>
                <w:color w:val="000000"/>
                <w:sz w:val="24"/>
              </w:rPr>
              <w:t>0.53%</w:t>
            </w:r>
          </w:p>
        </w:tc>
        <w:tc>
          <w:tcPr>
            <w:vAlign w:val="center"/>
          </w:tcPr>
          <w:p>
            <w:pPr>
              <w:jc w:val="center"/>
            </w:pPr>
            <w:r>
              <w:rPr>
                <w:color w:val="000000"/>
                <w:sz w:val="24"/>
              </w:rPr>
              <w:t>0.00%</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交银施罗德裕通纯债债券型证券投资基金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2015年12月29日</w:t>
      </w:r>
      <w:r w:rsidR="009A045B" w:rsidRPr="007F52FA">
        <w:rPr>
          <w:rFonts w:ascii="Times New Roman" w:hAnsi="Times New Roman"/>
          <w:sz w:val="24"/>
          <w:szCs w:val="24"/>
        </w:rPr>
        <w:t>至</w:t>
      </w:r>
      <w:r w:rsidRPr="007F52FA">
        <w:rPr>
          <w:rFonts w:ascii="Times New Roman" w:hAnsi="Times New Roman"/>
          <w:sz w:val="24"/>
          <w:szCs w:val="24"/>
        </w:rPr>
        <w:t>2019年9月30日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交银裕通纯债债券A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交银裕通纯债债券C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交银理财21天债券、交银丰享收益债券、交银裕通纯债债券、交银活期通货币、交银天利宝货币、交银裕隆纯债债券、交银天益宝货币、交银境尚收益债券、交银稳鑫短债债券的基金经理</w:t>
            </w:r>
          </w:p>
        </w:tc>
        <w:tc>
          <w:tcPr>
            <w:vAlign w:val="center"/>
          </w:tcPr>
          <w:p>
            <w:pPr>
              <w:jc w:val="center"/>
            </w:pPr>
            <w:r>
              <w:rPr>
                <w:color w:val="000000"/>
                <w:sz w:val="24"/>
              </w:rPr>
              <w:t>2015-12-29</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w:t>
            </w:r>
          </w:p>
        </w:tc>
      </w:tr>
      <w:tr>
        <w:tc>
          <w:tcPr>
            <w:vAlign w:val="center"/>
          </w:tcPr>
          <w:p>
            <w:pPr>
              <w:jc w:val="center"/>
            </w:pPr>
            <w:r>
              <w:rPr>
                <w:color w:val="000000"/>
                <w:sz w:val="24"/>
              </w:rPr>
              <w:t>唐赟</w:t>
            </w:r>
          </w:p>
        </w:tc>
        <w:tc>
          <w:tcPr>
            <w:vAlign w:val="center"/>
          </w:tcPr>
          <w:p>
            <w:pPr>
              <w:jc w:val="center"/>
            </w:pPr>
            <w:r>
              <w:rPr>
                <w:color w:val="000000"/>
                <w:sz w:val="24"/>
              </w:rPr>
              <w:t>交银信用添利债券(LOF)、交银双利债券、交银双轮动债券、交银裕通纯债债券、交银安心收益债券、交银荣鑫灵活配置混合的基金经理</w:t>
            </w:r>
          </w:p>
        </w:tc>
        <w:tc>
          <w:tcPr>
            <w:vAlign w:val="center"/>
          </w:tcPr>
          <w:p>
            <w:pPr>
              <w:jc w:val="center"/>
            </w:pPr>
            <w:r>
              <w:rPr>
                <w:color w:val="000000"/>
                <w:sz w:val="24"/>
              </w:rPr>
              <w:t>2017-03-31</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唐赟先生，香港城市大学电子工程硕士。历任渣打银行环球企业部助理客户经理、平安资产管理公司信用分析员。2012年加入交银施罗德基金管理有限公司，历任固定收益研究员、基金经理助理。2015年11月7日至2018年6月1日担任转型前的交银施罗德荣和保本混合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收益率一度持续下行，后小幅回调。七至八月，债市收益率在宽松预期、国内外经济数据低预期以及海外风险的共振下震荡走低。七月初资金面比较宽松，但是由于市场对于通胀和经济回落的预期本来就较强，后资金面边际收紧，令债市全月呈现震荡格局。八月在国内经济数据低于预期，贸易争端以及人民币汇率破7等事件催化下，债券市场收益率呈现快速下行，十年国债一度破3%。九月后，随着稳增长预期升温、通胀担忧加剧以及资金面紧平衡等因素出现，债券市场小幅调整。截至九月底，活跃十年国债收益率自七月初一路走低，八月中旬破3%，后再度小幅上行。</w:t>
      </w:r>
    </w:p>
    <w:p>
      <w:pPr>
        <w:spacing w:before="29" w:line="288" w:lineRule="auto"/>
        <w:ind w:firstLine="480" w:firstLineChars="200"/>
        <w:rPr>
          <w:color w:val="000000"/>
          <w:sz w:val="24"/>
        </w:rPr>
      </w:pPr>
      <w:r>
        <w:rPr>
          <w:color w:val="000000"/>
          <w:sz w:val="24"/>
        </w:rPr>
        <w:t>我们认为，三季度在市场前期回调下，债市存在配置机会，因此在季度初期维持较高杠杆， 八月中后期，由于融资成本有所抬升，基金适当降低杠杆，卖出部分短久期收益率偏低品种。</w:t>
      </w:r>
    </w:p>
    <w:p w:rsidP="007C14DF" w:rsidR="00952A72" w:rsidRDefault="00323F25" w:rsidRPr="007F52FA">
      <w:pPr>
        <w:spacing w:before="29" w:line="288" w:lineRule="auto"/>
        <w:ind w:firstLine="480" w:firstLineChars="200"/>
        <w:rPr>
          <w:color w:val="000000"/>
          <w:sz w:val="24"/>
        </w:rPr>
      </w:pPr>
      <w:r w:rsidRPr="007F52FA">
        <w:rPr>
          <w:color w:val="000000"/>
          <w:sz w:val="24"/>
        </w:rPr>
        <w:t>展望2019年四季度，经济基本面下行压力仍然存在，经济内生企稳动力不强，而尽管宏观逆周期调控政策底线思维，但地产和基建发力始终受到种种限制。不过，我们担心通胀四季度上行压力会边际掣肘货币政策宽松。因此，我们认为四季度债券市场以震荡为主。基金方面，我们将视融资成本及市场收益率变动情况择机增配中短久期利率债品种，并积极关注长端利率的波段交易机会，以期提升基金静态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6"/>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2,414,284,000.00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98.34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2,414,284,000.00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98.34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3,939,090.89</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0.16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36,891,411.78</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1.50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2,455,114,502.67</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2,414,284,000.00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116.43</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2,414,284,000.00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116.43</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2,414,284,000.00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116.43</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6"/>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190202</w:t>
            </w:r>
          </w:p>
        </w:tc>
        <w:tc>
          <w:tcPr>
            <w:vAlign w:val="center"/>
          </w:tcPr>
          <w:p>
            <w:pPr>
              <w:jc w:val="center"/>
            </w:pPr>
            <w:r>
              <w:rPr>
                <w:color w:val="000000"/>
                <w:sz w:val="24"/>
              </w:rPr>
              <w:t>19国开02</w:t>
            </w:r>
          </w:p>
        </w:tc>
        <w:tc>
          <w:tcPr>
            <w:vAlign w:val="center"/>
          </w:tcPr>
          <w:p>
            <w:pPr>
              <w:jc w:val="right"/>
            </w:pPr>
            <w:r>
              <w:rPr>
                <w:color w:val="000000"/>
                <w:sz w:val="24"/>
              </w:rPr>
              <w:t>8,300,000</w:t>
            </w:r>
          </w:p>
        </w:tc>
        <w:tc>
          <w:tcPr>
            <w:vAlign w:val="center"/>
          </w:tcPr>
          <w:p>
            <w:pPr>
              <w:jc w:val="right"/>
            </w:pPr>
            <w:r>
              <w:rPr>
                <w:color w:val="000000"/>
                <w:sz w:val="24"/>
              </w:rPr>
              <w:t>830,166,000.00</w:t>
            </w:r>
          </w:p>
        </w:tc>
        <w:tc>
          <w:tcPr>
            <w:vAlign w:val="center"/>
          </w:tcPr>
          <w:p>
            <w:pPr>
              <w:jc w:val="right"/>
            </w:pPr>
            <w:r>
              <w:rPr>
                <w:color w:val="000000"/>
                <w:sz w:val="24"/>
              </w:rPr>
              <w:t>40.03</w:t>
            </w:r>
          </w:p>
        </w:tc>
      </w:tr>
      <w:tr>
        <w:tc>
          <w:tcPr>
            <w:vAlign w:val="center"/>
          </w:tcPr>
          <w:p>
            <w:pPr>
              <w:jc w:val="center"/>
            </w:pPr>
            <w:r>
              <w:rPr>
                <w:color w:val="000000"/>
                <w:sz w:val="24"/>
              </w:rPr>
              <w:t>2</w:t>
            </w:r>
          </w:p>
        </w:tc>
        <w:tc>
          <w:tcPr>
            <w:vAlign w:val="center"/>
          </w:tcPr>
          <w:p>
            <w:pPr>
              <w:jc w:val="center"/>
            </w:pPr>
            <w:r>
              <w:rPr>
                <w:color w:val="000000"/>
                <w:sz w:val="24"/>
              </w:rPr>
              <w:t>180212</w:t>
            </w:r>
          </w:p>
        </w:tc>
        <w:tc>
          <w:tcPr>
            <w:vAlign w:val="center"/>
          </w:tcPr>
          <w:p>
            <w:pPr>
              <w:jc w:val="center"/>
            </w:pPr>
            <w:r>
              <w:rPr>
                <w:color w:val="000000"/>
                <w:sz w:val="24"/>
              </w:rPr>
              <w:t>18国开12</w:t>
            </w:r>
          </w:p>
        </w:tc>
        <w:tc>
          <w:tcPr>
            <w:vAlign w:val="center"/>
          </w:tcPr>
          <w:p>
            <w:pPr>
              <w:jc w:val="right"/>
            </w:pPr>
            <w:r>
              <w:rPr>
                <w:color w:val="000000"/>
                <w:sz w:val="24"/>
              </w:rPr>
              <w:t>6,000,000</w:t>
            </w:r>
          </w:p>
        </w:tc>
        <w:tc>
          <w:tcPr>
            <w:vAlign w:val="center"/>
          </w:tcPr>
          <w:p>
            <w:pPr>
              <w:jc w:val="right"/>
            </w:pPr>
            <w:r>
              <w:rPr>
                <w:color w:val="000000"/>
                <w:sz w:val="24"/>
              </w:rPr>
              <w:t>608,040,000.00</w:t>
            </w:r>
          </w:p>
        </w:tc>
        <w:tc>
          <w:tcPr>
            <w:vAlign w:val="center"/>
          </w:tcPr>
          <w:p>
            <w:pPr>
              <w:jc w:val="right"/>
            </w:pPr>
            <w:r>
              <w:rPr>
                <w:color w:val="000000"/>
                <w:sz w:val="24"/>
              </w:rPr>
              <w:t>29.32</w:t>
            </w:r>
          </w:p>
        </w:tc>
      </w:tr>
      <w:tr>
        <w:tc>
          <w:tcPr>
            <w:vAlign w:val="center"/>
          </w:tcPr>
          <w:p>
            <w:pPr>
              <w:jc w:val="center"/>
            </w:pPr>
            <w:r>
              <w:rPr>
                <w:color w:val="000000"/>
                <w:sz w:val="24"/>
              </w:rPr>
              <w:t>3</w:t>
            </w:r>
          </w:p>
        </w:tc>
        <w:tc>
          <w:tcPr>
            <w:vAlign w:val="center"/>
          </w:tcPr>
          <w:p>
            <w:pPr>
              <w:jc w:val="center"/>
            </w:pPr>
            <w:r>
              <w:rPr>
                <w:color w:val="000000"/>
                <w:sz w:val="24"/>
              </w:rPr>
              <w:t>180208</w:t>
            </w:r>
          </w:p>
        </w:tc>
        <w:tc>
          <w:tcPr>
            <w:vAlign w:val="center"/>
          </w:tcPr>
          <w:p>
            <w:pPr>
              <w:jc w:val="center"/>
            </w:pPr>
            <w:r>
              <w:rPr>
                <w:color w:val="000000"/>
                <w:sz w:val="24"/>
              </w:rPr>
              <w:t>18国开08</w:t>
            </w:r>
          </w:p>
        </w:tc>
        <w:tc>
          <w:tcPr>
            <w:vAlign w:val="center"/>
          </w:tcPr>
          <w:p>
            <w:pPr>
              <w:jc w:val="right"/>
            </w:pPr>
            <w:r>
              <w:rPr>
                <w:color w:val="000000"/>
                <w:sz w:val="24"/>
              </w:rPr>
              <w:t>4,800,000</w:t>
            </w:r>
          </w:p>
        </w:tc>
        <w:tc>
          <w:tcPr>
            <w:vAlign w:val="center"/>
          </w:tcPr>
          <w:p>
            <w:pPr>
              <w:jc w:val="right"/>
            </w:pPr>
            <w:r>
              <w:rPr>
                <w:color w:val="000000"/>
                <w:sz w:val="24"/>
              </w:rPr>
              <w:t>488,304,000.00</w:t>
            </w:r>
          </w:p>
        </w:tc>
        <w:tc>
          <w:tcPr>
            <w:vAlign w:val="center"/>
          </w:tcPr>
          <w:p>
            <w:pPr>
              <w:jc w:val="right"/>
            </w:pPr>
            <w:r>
              <w:rPr>
                <w:color w:val="000000"/>
                <w:sz w:val="24"/>
              </w:rPr>
              <w:t>23.55</w:t>
            </w:r>
          </w:p>
        </w:tc>
      </w:tr>
      <w:tr>
        <w:tc>
          <w:tcPr>
            <w:vAlign w:val="center"/>
          </w:tcPr>
          <w:p>
            <w:pPr>
              <w:jc w:val="center"/>
            </w:pPr>
            <w:r>
              <w:rPr>
                <w:color w:val="000000"/>
                <w:sz w:val="24"/>
              </w:rPr>
              <w:t>4</w:t>
            </w:r>
          </w:p>
        </w:tc>
        <w:tc>
          <w:tcPr>
            <w:vAlign w:val="center"/>
          </w:tcPr>
          <w:p>
            <w:pPr>
              <w:jc w:val="center"/>
            </w:pPr>
            <w:r>
              <w:rPr>
                <w:color w:val="000000"/>
                <w:sz w:val="24"/>
              </w:rPr>
              <w:t>180412</w:t>
            </w:r>
          </w:p>
        </w:tc>
        <w:tc>
          <w:tcPr>
            <w:vAlign w:val="center"/>
          </w:tcPr>
          <w:p>
            <w:pPr>
              <w:jc w:val="center"/>
            </w:pPr>
            <w:r>
              <w:rPr>
                <w:color w:val="000000"/>
                <w:sz w:val="24"/>
              </w:rPr>
              <w:t>18农发12</w:t>
            </w:r>
          </w:p>
        </w:tc>
        <w:tc>
          <w:tcPr>
            <w:vAlign w:val="center"/>
          </w:tcPr>
          <w:p>
            <w:pPr>
              <w:jc w:val="right"/>
            </w:pPr>
            <w:r>
              <w:rPr>
                <w:color w:val="000000"/>
                <w:sz w:val="24"/>
              </w:rPr>
              <w:t>900,000</w:t>
            </w:r>
          </w:p>
        </w:tc>
        <w:tc>
          <w:tcPr>
            <w:vAlign w:val="center"/>
          </w:tcPr>
          <w:p>
            <w:pPr>
              <w:jc w:val="right"/>
            </w:pPr>
            <w:r>
              <w:rPr>
                <w:color w:val="000000"/>
                <w:sz w:val="24"/>
              </w:rPr>
              <w:t>90,477,000.00</w:t>
            </w:r>
          </w:p>
        </w:tc>
        <w:tc>
          <w:tcPr>
            <w:vAlign w:val="center"/>
          </w:tcPr>
          <w:p>
            <w:pPr>
              <w:jc w:val="right"/>
            </w:pPr>
            <w:r>
              <w:rPr>
                <w:color w:val="000000"/>
                <w:sz w:val="24"/>
              </w:rPr>
              <w:t>4.36</w:t>
            </w:r>
          </w:p>
        </w:tc>
      </w:tr>
      <w:tr>
        <w:tc>
          <w:tcPr>
            <w:vAlign w:val="center"/>
          </w:tcPr>
          <w:p>
            <w:pPr>
              <w:jc w:val="center"/>
            </w:pPr>
            <w:r>
              <w:rPr>
                <w:color w:val="000000"/>
                <w:sz w:val="24"/>
              </w:rPr>
              <w:t>5</w:t>
            </w:r>
          </w:p>
        </w:tc>
        <w:tc>
          <w:tcPr>
            <w:vAlign w:val="center"/>
          </w:tcPr>
          <w:p>
            <w:pPr>
              <w:jc w:val="center"/>
            </w:pPr>
            <w:r>
              <w:rPr>
                <w:color w:val="000000"/>
                <w:sz w:val="24"/>
              </w:rPr>
              <w:t>190303</w:t>
            </w:r>
          </w:p>
        </w:tc>
        <w:tc>
          <w:tcPr>
            <w:vAlign w:val="center"/>
          </w:tcPr>
          <w:p>
            <w:pPr>
              <w:jc w:val="center"/>
            </w:pPr>
            <w:r>
              <w:rPr>
                <w:color w:val="000000"/>
                <w:sz w:val="24"/>
              </w:rPr>
              <w:t>19进出03</w:t>
            </w:r>
          </w:p>
        </w:tc>
        <w:tc>
          <w:tcPr>
            <w:vAlign w:val="center"/>
          </w:tcPr>
          <w:p>
            <w:pPr>
              <w:jc w:val="right"/>
            </w:pPr>
            <w:r>
              <w:rPr>
                <w:color w:val="000000"/>
                <w:sz w:val="24"/>
              </w:rPr>
              <w:t>800,000</w:t>
            </w:r>
          </w:p>
        </w:tc>
        <w:tc>
          <w:tcPr>
            <w:vAlign w:val="center"/>
          </w:tcPr>
          <w:p>
            <w:pPr>
              <w:jc w:val="right"/>
            </w:pPr>
            <w:r>
              <w:rPr>
                <w:color w:val="000000"/>
                <w:sz w:val="24"/>
              </w:rPr>
              <w:t>79,768,000.00</w:t>
            </w:r>
          </w:p>
        </w:tc>
        <w:tc>
          <w:tcPr>
            <w:vAlign w:val="center"/>
          </w:tcPr>
          <w:p>
            <w:pPr>
              <w:jc w:val="right"/>
            </w:pPr>
            <w:r>
              <w:rPr>
                <w:color w:val="000000"/>
                <w:sz w:val="24"/>
              </w:rPr>
              <w:t>3.85</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6"/>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1,982.58</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36,889,429.20</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36,891,411.78</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交银裕通纯债债券A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交银裕通纯债债券C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701,949,773.49</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474,524,435.28</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883,643,009.33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104,562.89</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32,905,641.70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490,127.00</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1,552,687,141.12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474,138,871.17</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2019/7/1-2019/9/30</w:t>
            </w:r>
          </w:p>
        </w:tc>
        <w:tc>
          <w:tcPr>
            <w:vAlign w:val="center"/>
          </w:tcPr>
          <w:p>
            <w:pPr>
              <w:jc w:val="center"/>
            </w:pPr>
            <w:r>
              <w:rPr>
                <w:rFonts w:ascii="宋体" w:hAnsi="宋体" w:hint="eastAsia"/>
                <w:color w:val="000000"/>
                <w:kern w:val="0"/>
                <w:szCs w:val="21"/>
              </w:rPr>
              <w:t>473,429,951.69</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473,429,951.69</w:t>
            </w:r>
          </w:p>
        </w:tc>
        <w:tc>
          <w:tcPr>
            <w:vAlign w:val="center"/>
          </w:tcPr>
          <w:p>
            <w:pPr>
              <w:jc w:val="center"/>
            </w:pPr>
            <w:r>
              <w:rPr>
                <w:rFonts w:ascii="宋体" w:hAnsi="宋体" w:hint="eastAsia"/>
                <w:color w:val="000000"/>
                <w:kern w:val="0"/>
                <w:szCs w:val="21"/>
              </w:rPr>
              <w:t>23.36%</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2019/7/1-2019/9/30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490,677,134.45</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490,677,134.45</w:t>
            </w:r>
          </w:p>
        </w:tc>
        <w:tc>
          <w:tcPr>
            <w:vAlign w:val="center"/>
          </w:tcPr>
          <w:p>
            <w:pPr>
              <w:jc w:val="center"/>
            </w:pPr>
            <w:r>
              <w:rPr>
                <w:rFonts w:ascii="宋体" w:hAnsi="宋体" w:hint="eastAsia"/>
                <w:color w:val="000000"/>
                <w:kern w:val="0"/>
                <w:szCs w:val="21"/>
              </w:rPr>
              <w:t>24.21%</w:t>
            </w:r>
          </w:p>
        </w:tc>
      </w:tr>
      <w:tr>
        <w:tc>
          <w:tcPr>
            <w:vMerge/>
          </w:tcPr>
          <w:p/>
        </w:tc>
        <w:tc>
          <w:tcPr>
            <w:vAlign w:val="center"/>
          </w:tcPr>
          <w:p>
            <w:pPr>
              <w:jc w:val="center"/>
            </w:pPr>
            <w:r>
              <w:rPr>
                <w:rFonts w:ascii="宋体" w:hAnsi="宋体" w:hint="eastAsia"/>
                <w:color w:val="000000"/>
                <w:kern w:val="0"/>
                <w:szCs w:val="21"/>
              </w:rPr>
              <w:t>3</w:t>
            </w:r>
          </w:p>
        </w:tc>
        <w:tc>
          <w:tcPr>
            <w:vAlign w:val="center"/>
          </w:tcPr>
          <w:p>
            <w:pPr>
              <w:jc w:val="center"/>
            </w:pPr>
            <w:r>
              <w:rPr>
                <w:rFonts w:ascii="宋体" w:hAnsi="宋体" w:hint="eastAsia"/>
                <w:color w:val="000000"/>
                <w:kern w:val="0"/>
                <w:szCs w:val="21"/>
              </w:rPr>
              <w:t>2019/7/1-2019/9/30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392,926,326.13</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392,926,326.13</w:t>
            </w:r>
          </w:p>
        </w:tc>
        <w:tc>
          <w:tcPr>
            <w:vAlign w:val="center"/>
          </w:tcPr>
          <w:p>
            <w:pPr>
              <w:jc w:val="center"/>
            </w:pPr>
            <w:r>
              <w:rPr>
                <w:rFonts w:ascii="宋体" w:hAnsi="宋体" w:hint="eastAsia"/>
                <w:color w:val="000000"/>
                <w:kern w:val="0"/>
                <w:szCs w:val="21"/>
              </w:rPr>
              <w:t>19.39%</w:t>
            </w:r>
          </w:p>
        </w:tc>
      </w:tr>
      <w:tr>
        <w:tc>
          <w:tcPr>
            <w:vMerge/>
          </w:tcPr>
          <w:p/>
        </w:tc>
        <w:tc>
          <w:tcPr>
            <w:vAlign w:val="center"/>
          </w:tcPr>
          <w:p>
            <w:pPr>
              <w:jc w:val="center"/>
            </w:pPr>
            <w:r>
              <w:rPr>
                <w:rFonts w:ascii="宋体" w:hAnsi="宋体" w:hint="eastAsia"/>
                <w:color w:val="000000"/>
                <w:kern w:val="0"/>
                <w:szCs w:val="21"/>
              </w:rPr>
              <w:t>4</w:t>
            </w:r>
          </w:p>
        </w:tc>
        <w:tc>
          <w:tcPr>
            <w:vAlign w:val="center"/>
          </w:tcPr>
          <w:p>
            <w:pPr>
              <w:jc w:val="center"/>
            </w:pPr>
            <w:r>
              <w:rPr>
                <w:rFonts w:ascii="宋体" w:hAnsi="宋体" w:hint="eastAsia"/>
                <w:color w:val="000000"/>
                <w:kern w:val="0"/>
                <w:szCs w:val="21"/>
              </w:rPr>
              <w:t>2019/7/1-2019/9/30</w:t>
            </w:r>
          </w:p>
        </w:tc>
        <w:tc>
          <w:tcPr>
            <w:vAlign w:val="center"/>
          </w:tcPr>
          <w:p>
            <w:pPr>
              <w:jc w:val="center"/>
            </w:pPr>
            <w:r>
              <w:rPr>
                <w:rFonts w:ascii="宋体" w:hAnsi="宋体" w:hint="eastAsia"/>
                <w:color w:val="000000"/>
                <w:kern w:val="0"/>
                <w:szCs w:val="21"/>
              </w:rPr>
              <w:t>476,189,523.81</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476,189,523.81</w:t>
            </w:r>
          </w:p>
        </w:tc>
        <w:tc>
          <w:tcPr>
            <w:vAlign w:val="center"/>
          </w:tcPr>
          <w:p>
            <w:pPr>
              <w:jc w:val="center"/>
            </w:pPr>
            <w:r>
              <w:rPr>
                <w:rFonts w:ascii="宋体" w:hAnsi="宋体" w:hint="eastAsia"/>
                <w:color w:val="000000"/>
                <w:kern w:val="0"/>
                <w:szCs w:val="21"/>
              </w:rPr>
              <w:t>23.49%</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1、中国证监会准予交银施罗德裕通纯债债券型证券投资基金募集注册的文件；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2、《交银施罗德裕通纯债债券型证券投资基金基金合同》；</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3、《交银施罗德裕通纯债债券型证券投资基金招募说明书》；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4、《交银施罗德裕通纯债债券型证券投资基金托管协议》；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5、基金管理人业务资格批件、营业执照；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6、基金托管人业务资格批件、营业执照；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7、关于申请募集注册交银施罗德裕通纯债债券型证券投资基金的法律意见书；</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8、报告期内交银施罗德裕通纯债债券型证券投资基金在指定报刊上各项公告的原稿。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E22" w:rsidRDefault="000A2E22">
      <w:r>
        <w:separator/>
      </w:r>
    </w:p>
  </w:endnote>
  <w:endnote w:type="continuationSeparator" w:id="0">
    <w:p w:rsidR="000A2E22" w:rsidRDefault="000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7"/>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F7094A" w:rsidR="007F50FB" w:rsidRDefault="007F50FB" w:rsidRPr="001D0DB0">
    <w:pPr>
      <w:pStyle w:val="a7"/>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143E9C">
      <w:rPr>
        <w:noProof/>
        <w:kern w:val="0"/>
        <w:szCs w:val="21"/>
      </w:rPr>
      <w:t>26</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143E9C">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7"/>
    </w:pPr>
  </w:p>
</w:ftr>
</file>

<file path=word/footer4.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7F50FB" w:rsidRDefault="0042114A">
    <w:pPr>
      <w:pStyle w:val="a7"/>
      <w:framePr w:hAnchor="margin" w:vAnchor="text" w:wrap="around" w:xAlign="center" w:y="1"/>
      <w:rPr>
        <w:rStyle w:val="a8"/>
      </w:rPr>
    </w:pPr>
    <w:r>
      <w:rPr>
        <w:rStyle w:val="a8"/>
      </w:rPr>
      <w:fldChar w:fldCharType="begin"/>
    </w:r>
    <w:r w:rsidR="007F50FB">
      <w:rPr>
        <w:rStyle w:val="a8"/>
      </w:rPr>
      <w:instrText xml:space="preserve">PAGE  </w:instrText>
    </w:r>
    <w:r>
      <w:rPr>
        <w:rStyle w:val="a8"/>
      </w:rPr>
      <w:fldChar w:fldCharType="end"/>
    </w:r>
  </w:p>
  <w:p w:rsidR="007F50FB" w:rsidRDefault="007F50FB">
    <w:pPr>
      <w:pStyle w:val="a7"/>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id="-1" w:type="separator">
    <w:p w:rsidR="000A2E22" w:rsidRDefault="000A2E22">
      <w:r>
        <w:separator/>
      </w:r>
    </w:p>
  </w:footnote>
  <w:footnote w:id="0" w:type="continuationSeparator">
    <w:p w:rsidR="000A2E22" w:rsidRDefault="000A2E22">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a"/>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交银施罗德裕通纯债债券型证券投资基金2019年第3季度报告</w:t>
    </w: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a"/>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cs="Times New Roman" w:eastAsia="宋体" w:hAnsi="Times New Roman"/>
        <w:lang w:bidi="ar-SA" w:eastAsia="zh-CN" w:val="en-US"/>
      </w:rPr>
    </w:rPrDefault>
    <w:pPrDefault/>
  </w:docDefaults>
  <w:latentStyles w:count="377"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0"/>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a6"/>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7" w:type="paragraph">
    <w:name w:val="footer"/>
    <w:basedOn w:val="a"/>
    <w:rsid w:val="006A4828"/>
    <w:pPr>
      <w:tabs>
        <w:tab w:pos="4153" w:val="center"/>
        <w:tab w:pos="8306" w:val="right"/>
      </w:tabs>
      <w:snapToGrid w:val="0"/>
      <w:jc w:val="left"/>
    </w:pPr>
    <w:rPr>
      <w:sz w:val="18"/>
      <w:szCs w:val="18"/>
    </w:rPr>
  </w:style>
  <w:style w:styleId="a8" w:type="character">
    <w:name w:val="page number"/>
    <w:basedOn w:val="a1"/>
    <w:rsid w:val="006A4828"/>
  </w:style>
  <w:style w:styleId="a9"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a" w:type="paragraph">
    <w:name w:val="header"/>
    <w:basedOn w:val="a"/>
    <w:link w:val="ab"/>
    <w:uiPriority w:val="99"/>
    <w:rsid w:val="006A4828"/>
    <w:pPr>
      <w:pBdr>
        <w:bottom w:color="auto" w:space="1" w:sz="6" w:val="single"/>
      </w:pBdr>
      <w:tabs>
        <w:tab w:pos="4153" w:val="center"/>
        <w:tab w:pos="8306" w:val="right"/>
      </w:tabs>
      <w:snapToGrid w:val="0"/>
      <w:jc w:val="center"/>
    </w:pPr>
    <w:rPr>
      <w:sz w:val="18"/>
      <w:szCs w:val="18"/>
    </w:rPr>
  </w:style>
  <w:style w:customStyle="1" w:styleId="11" w:type="character">
    <w:name w:val="已访问的超链接1"/>
    <w:basedOn w:val="a1"/>
    <w:rsid w:val="006A4828"/>
    <w:rPr>
      <w:color w:val="800080"/>
      <w:u w:val="single"/>
    </w:rPr>
  </w:style>
  <w:style w:styleId="ac" w:type="paragraph">
    <w:name w:val="List"/>
    <w:basedOn w:val="ad"/>
    <w:rsid w:val="006A4828"/>
    <w:pPr>
      <w:spacing w:after="220" w:line="220" w:lineRule="atLeast"/>
      <w:ind w:hanging="360" w:left="1440"/>
    </w:pPr>
    <w:rPr>
      <w:szCs w:val="20"/>
    </w:rPr>
  </w:style>
  <w:style w:styleId="ad" w:type="paragraph">
    <w:name w:val="Body Text"/>
    <w:basedOn w:val="a"/>
    <w:rsid w:val="006A4828"/>
    <w:pPr>
      <w:spacing w:after="120"/>
    </w:pPr>
  </w:style>
  <w:style w:styleId="ae" w:type="paragraph">
    <w:name w:val="Date"/>
    <w:basedOn w:val="a"/>
    <w:next w:val="a"/>
    <w:link w:val="af"/>
    <w:rsid w:val="006A4828"/>
    <w:rPr>
      <w:sz w:val="24"/>
      <w:szCs w:val="20"/>
    </w:rPr>
  </w:style>
  <w:style w:customStyle="1" w:styleId="c1" w:type="character">
    <w:name w:val="c1"/>
    <w:basedOn w:val="a1"/>
    <w:rsid w:val="006A4828"/>
    <w:rPr>
      <w:color w:val="000000"/>
      <w:sz w:val="18"/>
      <w:szCs w:val="18"/>
    </w:rPr>
  </w:style>
  <w:style w:styleId="12"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f0" w:type="paragraph">
    <w:name w:val="Balloon Text"/>
    <w:basedOn w:val="a"/>
    <w:semiHidden/>
    <w:rsid w:val="006A4828"/>
    <w:rPr>
      <w:sz w:val="18"/>
      <w:szCs w:val="18"/>
    </w:rPr>
  </w:style>
  <w:style w:styleId="af1" w:type="character">
    <w:name w:val="annotation reference"/>
    <w:basedOn w:val="a1"/>
    <w:uiPriority w:val="99"/>
    <w:semiHidden/>
    <w:rsid w:val="006A4828"/>
    <w:rPr>
      <w:sz w:val="21"/>
      <w:szCs w:val="21"/>
    </w:rPr>
  </w:style>
  <w:style w:styleId="af2" w:type="paragraph">
    <w:name w:val="annotation text"/>
    <w:basedOn w:val="a"/>
    <w:link w:val="af3"/>
    <w:uiPriority w:val="99"/>
    <w:semiHidden/>
    <w:rsid w:val="006A4828"/>
    <w:pPr>
      <w:jc w:val="left"/>
    </w:pPr>
  </w:style>
  <w:style w:styleId="af4" w:type="paragraph">
    <w:name w:val="annotation subject"/>
    <w:basedOn w:val="af2"/>
    <w:next w:val="af2"/>
    <w:semiHidden/>
    <w:rsid w:val="006A4828"/>
    <w:rPr>
      <w:b/>
      <w:bCs/>
    </w:rPr>
  </w:style>
  <w:style w:customStyle="1" w:styleId="Char" w:type="paragraph">
    <w:name w:val="Char"/>
    <w:basedOn w:val="a"/>
    <w:rsid w:val="006A4828"/>
  </w:style>
  <w:style w:styleId="af5" w:type="paragraph">
    <w:name w:val="Document Map"/>
    <w:basedOn w:val="a"/>
    <w:semiHidden/>
    <w:rsid w:val="000A549A"/>
    <w:pPr>
      <w:shd w:color="auto" w:fill="000080" w:val="clear"/>
    </w:pPr>
  </w:style>
  <w:style w:styleId="af6"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7" w:type="paragraph">
    <w:name w:val="footnote text"/>
    <w:basedOn w:val="a"/>
    <w:link w:val="af8"/>
    <w:rsid w:val="000B251E"/>
    <w:pPr>
      <w:snapToGrid w:val="0"/>
      <w:jc w:val="left"/>
    </w:pPr>
    <w:rPr>
      <w:sz w:val="18"/>
      <w:szCs w:val="18"/>
    </w:rPr>
  </w:style>
  <w:style w:styleId="af9" w:type="character">
    <w:name w:val="footnote reference"/>
    <w:basedOn w:val="a1"/>
    <w:rsid w:val="000B251E"/>
    <w:rPr>
      <w:vertAlign w:val="superscript"/>
    </w:rPr>
  </w:style>
  <w:style w:styleId="afa"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0"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a6" w:type="character">
    <w:name w:val="纯文本 字符"/>
    <w:basedOn w:val="a1"/>
    <w:link w:val="a5"/>
    <w:uiPriority w:val="99"/>
    <w:rsid w:val="009A045B"/>
    <w:rPr>
      <w:rFonts w:ascii="宋体" w:hAnsi="Courier New"/>
      <w:kern w:val="2"/>
      <w:sz w:val="21"/>
      <w:szCs w:val="21"/>
    </w:rPr>
  </w:style>
  <w:style w:customStyle="1" w:styleId="af8" w:type="character">
    <w:name w:val="脚注文本 字符"/>
    <w:basedOn w:val="a1"/>
    <w:link w:val="af7"/>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ab" w:type="character">
    <w:name w:val="页眉 字符"/>
    <w:basedOn w:val="a1"/>
    <w:link w:val="aa"/>
    <w:uiPriority w:val="99"/>
    <w:rsid w:val="001207F2"/>
    <w:rPr>
      <w:kern w:val="2"/>
      <w:sz w:val="18"/>
      <w:szCs w:val="18"/>
    </w:rPr>
  </w:style>
  <w:style w:customStyle="1" w:styleId="10" w:type="character">
    <w:name w:val="标题 1 字符"/>
    <w:basedOn w:val="a1"/>
    <w:link w:val="1"/>
    <w:uiPriority w:val="99"/>
    <w:rsid w:val="00180952"/>
    <w:rPr>
      <w:b/>
      <w:bCs/>
      <w:kern w:val="44"/>
      <w:sz w:val="44"/>
      <w:szCs w:val="44"/>
    </w:rPr>
  </w:style>
  <w:style w:customStyle="1" w:styleId="af" w:type="character">
    <w:name w:val="日期 字符"/>
    <w:basedOn w:val="a1"/>
    <w:link w:val="ae"/>
    <w:rsid w:val="00D66685"/>
    <w:rPr>
      <w:kern w:val="2"/>
      <w:sz w:val="24"/>
    </w:rPr>
  </w:style>
  <w:style w:styleId="afb" w:type="character">
    <w:name w:val="Strong"/>
    <w:basedOn w:val="a1"/>
    <w:uiPriority w:val="22"/>
    <w:qFormat/>
    <w:rsid w:val="00C02900"/>
    <w:rPr>
      <w:b/>
      <w:bCs/>
    </w:rPr>
  </w:style>
  <w:style w:customStyle="1" w:styleId="af3" w:type="character">
    <w:name w:val="批注文字 字符"/>
    <w:basedOn w:val="a1"/>
    <w:link w:val="af2"/>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3D1C4-DF97-4403-82EB-0D35503E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242</TotalTime>
  <Pages>27</Pages>
  <Words>4287</Words>
  <Characters>24442</Characters>
  <Application>Microsoft Office Word</Application>
  <DocSecurity>0</DocSecurity>
  <Lines>203</Lines>
  <Paragraphs>57</Paragraphs>
  <ScaleCrop>false</ScaleCrop>
  <Company>TRT. Ltd. Co.</Company>
  <LinksUpToDate>false</LinksUpToDate>
  <CharactersWithSpaces>28672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857040381@qq.com</cp:lastModifiedBy>
  <cp:lastPrinted>2007-07-19T00:46:00Z</cp:lastPrinted>
  <dcterms:modified xsi:type="dcterms:W3CDTF">2019-09-18T07:08:00Z</dcterms:modified>
  <cp:revision>402</cp:revision>
</cp:coreProperties>
</file>