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1,686,538,273.91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248,255,727.05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366,260,169.89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0.2129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3,998,419,244.39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10.18%</w:t>
            </w:r>
          </w:p>
        </w:tc>
        <w:tc>
          <w:tcPr>
            <w:vAlign w:val="center"/>
          </w:tcPr>
          <w:p>
            <w:pPr>
              <w:jc w:val="center"/>
            </w:pPr>
            <w:r>
              <w:rPr>
                <w:color w:val="000000"/>
                <w:sz w:val="24"/>
                <w:szCs w:val="24"/>
              </w:rPr>
              <w:t>1.25%</w:t>
            </w:r>
          </w:p>
        </w:tc>
        <w:tc>
          <w:tcPr>
            <w:vAlign w:val="center"/>
          </w:tcPr>
          <w:p>
            <w:pPr>
              <w:jc w:val="center"/>
            </w:pPr>
            <w:r>
              <w:rPr>
                <w:color w:val="000000"/>
                <w:sz w:val="24"/>
                <w:szCs w:val="24"/>
              </w:rPr>
              <w:t>0.18%</w:t>
            </w:r>
          </w:p>
        </w:tc>
        <w:tc>
          <w:tcPr>
            <w:vAlign w:val="center"/>
          </w:tcPr>
          <w:p>
            <w:pPr>
              <w:jc w:val="center"/>
            </w:pPr>
            <w:r>
              <w:rPr>
                <w:color w:val="000000"/>
                <w:sz w:val="24"/>
                <w:szCs w:val="24"/>
              </w:rPr>
              <w:t>0.72%</w:t>
            </w:r>
          </w:p>
        </w:tc>
        <w:tc>
          <w:tcPr>
            <w:vAlign w:val="center"/>
          </w:tcPr>
          <w:p>
            <w:pPr>
              <w:jc w:val="center"/>
            </w:pPr>
            <w:r>
              <w:rPr>
                <w:color w:val="000000"/>
                <w:sz w:val="24"/>
                <w:szCs w:val="24"/>
              </w:rPr>
              <w:t>10.00%</w:t>
            </w:r>
          </w:p>
        </w:tc>
        <w:tc>
          <w:tcPr>
            <w:vAlign w:val="center"/>
          </w:tcPr>
          <w:p>
            <w:pPr>
              <w:jc w:val="center"/>
            </w:pPr>
            <w:r>
              <w:rPr>
                <w:color w:val="000000"/>
                <w:sz w:val="24"/>
                <w:szCs w:val="24"/>
              </w:rPr>
              <w:t>0.53%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2019年三季度A股市场风险偏好明显回升。特别是市场对5G、进口芯片替代及自主可控关注较高，相关个股及行业获得了可观涨幅。</w:t>
      </w:r>
    </w:p>
    <w:p>
      <w:pPr>
        <w:spacing w:before="29" w:line="288" w:lineRule="auto"/>
        <w:ind w:firstLine="480" w:firstLineChars="200"/>
        <w:rPr>
          <w:color w:val="000000"/>
          <w:sz w:val="24"/>
          <w:szCs w:val="24"/>
        </w:rPr>
      </w:pPr>
      <w:r>
        <w:rPr>
          <w:color w:val="000000"/>
          <w:sz w:val="24"/>
          <w:szCs w:val="24"/>
        </w:rPr>
        <w:t>本基金在三季度跑赢业绩比较基准，主要原因是持仓结构偏向成长类，相关个股估值回升。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流动性相对宽松，其他大类资产预期回报较低的环境下，资本市场吸引力可能会缓慢显现。从三季度的情况，具体表现为两个方向，首先是未来具备明确成长机会的行业其估值可能大幅提升。其次是优质“核心资产”估值可能会稳定提升。我们希望通过前瞻性研究发现一些新的变化和未来成长性不错的行业，并通过深度研究发现更多优质资产，相关投资我们都会基于较好的安全边际，不参与估值可能泡沫化的公司或者行业，我们希望通过深度研究，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3,409,934,322.84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3,409,934,322.84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189,882,165.60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189,882,165.60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387,527,518.69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42,467,680.13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4,029,811,687.26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422,840.00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507,300.00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1,057,334,036.47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1,634,500.00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235,140,507.09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626,250.00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1,449,583,289.22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164,584,411.60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142,663,326.36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370,087.20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63,176,085.98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459,205.84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85,832,799.36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207,359,683.72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3,409,934,322.84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85.28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17,035,959</w:t>
            </w:r>
          </w:p>
        </w:tc>
        <w:tc>
          <w:tcPr>
            <w:vAlign w:val="center"/>
          </w:tcPr>
          <w:p>
            <w:pPr>
              <w:jc w:val="right"/>
            </w:pPr>
            <w:r>
              <w:rPr>
                <w:color w:val="000000"/>
                <w:sz w:val="24"/>
                <w:szCs w:val="24"/>
              </w:rPr>
              <w:t>291,996,337.26</w:t>
            </w:r>
          </w:p>
        </w:tc>
        <w:tc>
          <w:tcPr>
            <w:vAlign w:val="center"/>
          </w:tcPr>
          <w:p>
            <w:pPr>
              <w:jc w:val="right"/>
            </w:pPr>
            <w:r>
              <w:rPr>
                <w:color w:val="000000"/>
                <w:sz w:val="24"/>
                <w:szCs w:val="24"/>
              </w:rPr>
              <w:t>7.30</w:t>
            </w:r>
          </w:p>
        </w:tc>
      </w:tr>
      <w:tr>
        <w:tc>
          <w:tcPr>
            <w:vAlign w:val="center"/>
          </w:tcPr>
          <w:p>
            <w:pPr>
              <w:jc w:val="center"/>
            </w:pPr>
            <w:r>
              <w:rPr>
                <w:color w:val="000000"/>
                <w:sz w:val="24"/>
                <w:szCs w:val="24"/>
              </w:rPr>
              <w:t>2</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20,847,657</w:t>
            </w:r>
          </w:p>
        </w:tc>
        <w:tc>
          <w:tcPr>
            <w:vAlign w:val="center"/>
          </w:tcPr>
          <w:p>
            <w:pPr>
              <w:jc w:val="right"/>
            </w:pPr>
            <w:r>
              <w:rPr>
                <w:color w:val="000000"/>
                <w:sz w:val="24"/>
                <w:szCs w:val="24"/>
              </w:rPr>
              <w:t>245,585,399.46</w:t>
            </w:r>
          </w:p>
        </w:tc>
        <w:tc>
          <w:tcPr>
            <w:vAlign w:val="center"/>
          </w:tcPr>
          <w:p>
            <w:pPr>
              <w:jc w:val="right"/>
            </w:pPr>
            <w:r>
              <w:rPr>
                <w:color w:val="000000"/>
                <w:sz w:val="24"/>
                <w:szCs w:val="24"/>
              </w:rPr>
              <w:t>6.14</w:t>
            </w:r>
          </w:p>
        </w:tc>
      </w:tr>
      <w:tr>
        <w:tc>
          <w:tcPr>
            <w:vAlign w:val="center"/>
          </w:tcPr>
          <w:p>
            <w:pPr>
              <w:jc w:val="center"/>
            </w:pPr>
            <w:r>
              <w:rPr>
                <w:color w:val="000000"/>
                <w:sz w:val="24"/>
                <w:szCs w:val="24"/>
              </w:rPr>
              <w:t>3</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16,155,903</w:t>
            </w:r>
          </w:p>
        </w:tc>
        <w:tc>
          <w:tcPr>
            <w:vAlign w:val="center"/>
          </w:tcPr>
          <w:p>
            <w:pPr>
              <w:jc w:val="right"/>
            </w:pPr>
            <w:r>
              <w:rPr>
                <w:color w:val="000000"/>
                <w:sz w:val="24"/>
                <w:szCs w:val="24"/>
              </w:rPr>
              <w:t>242,984,781.12</w:t>
            </w:r>
          </w:p>
        </w:tc>
        <w:tc>
          <w:tcPr>
            <w:vAlign w:val="center"/>
          </w:tcPr>
          <w:p>
            <w:pPr>
              <w:jc w:val="right"/>
            </w:pPr>
            <w:r>
              <w:rPr>
                <w:color w:val="000000"/>
                <w:sz w:val="24"/>
                <w:szCs w:val="24"/>
              </w:rPr>
              <w:t>6.08</w:t>
            </w:r>
          </w:p>
        </w:tc>
      </w:tr>
      <w:tr>
        <w:tc>
          <w:tcPr>
            <w:vAlign w:val="center"/>
          </w:tcPr>
          <w:p>
            <w:pPr>
              <w:jc w:val="center"/>
            </w:pPr>
            <w:r>
              <w:rPr>
                <w:color w:val="000000"/>
                <w:sz w:val="24"/>
                <w:szCs w:val="24"/>
              </w:rPr>
              <w:t>4</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8,070,429</w:t>
            </w:r>
          </w:p>
        </w:tc>
        <w:tc>
          <w:tcPr>
            <w:vAlign w:val="center"/>
          </w:tcPr>
          <w:p>
            <w:pPr>
              <w:jc w:val="right"/>
            </w:pPr>
            <w:r>
              <w:rPr>
                <w:color w:val="000000"/>
                <w:sz w:val="24"/>
                <w:szCs w:val="24"/>
              </w:rPr>
              <w:t>188,202,404.28</w:t>
            </w:r>
          </w:p>
        </w:tc>
        <w:tc>
          <w:tcPr>
            <w:vAlign w:val="center"/>
          </w:tcPr>
          <w:p>
            <w:pPr>
              <w:jc w:val="right"/>
            </w:pPr>
            <w:r>
              <w:rPr>
                <w:color w:val="000000"/>
                <w:sz w:val="24"/>
                <w:szCs w:val="24"/>
              </w:rPr>
              <w:t>4.71</w:t>
            </w:r>
          </w:p>
        </w:tc>
      </w:tr>
      <w:tr>
        <w:tc>
          <w:tcPr>
            <w:vAlign w:val="center"/>
          </w:tcPr>
          <w:p>
            <w:pPr>
              <w:jc w:val="center"/>
            </w:pPr>
            <w:r>
              <w:rPr>
                <w:color w:val="000000"/>
                <w:sz w:val="24"/>
                <w:szCs w:val="24"/>
              </w:rPr>
              <w:t>5</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7,952,898</w:t>
            </w:r>
          </w:p>
        </w:tc>
        <w:tc>
          <w:tcPr>
            <w:vAlign w:val="center"/>
          </w:tcPr>
          <w:p>
            <w:pPr>
              <w:jc w:val="right"/>
            </w:pPr>
            <w:r>
              <w:rPr>
                <w:color w:val="000000"/>
                <w:sz w:val="24"/>
                <w:szCs w:val="24"/>
              </w:rPr>
              <w:t>172,975,531.50</w:t>
            </w:r>
          </w:p>
        </w:tc>
        <w:tc>
          <w:tcPr>
            <w:vAlign w:val="center"/>
          </w:tcPr>
          <w:p>
            <w:pPr>
              <w:jc w:val="right"/>
            </w:pPr>
            <w:r>
              <w:rPr>
                <w:color w:val="000000"/>
                <w:sz w:val="24"/>
                <w:szCs w:val="24"/>
              </w:rPr>
              <w:t>4.33</w:t>
            </w:r>
          </w:p>
        </w:tc>
      </w:tr>
      <w:tr>
        <w:tc>
          <w:tcPr>
            <w:vAlign w:val="center"/>
          </w:tcPr>
          <w:p>
            <w:pPr>
              <w:jc w:val="center"/>
            </w:pPr>
            <w:r>
              <w:rPr>
                <w:color w:val="000000"/>
                <w:sz w:val="24"/>
                <w:szCs w:val="24"/>
              </w:rPr>
              <w:t>6</w:t>
            </w:r>
          </w:p>
        </w:tc>
        <w:tc>
          <w:tcPr>
            <w:vAlign w:val="center"/>
          </w:tcPr>
          <w:p>
            <w:pPr>
              <w:jc w:val="center"/>
            </w:pPr>
            <w:r>
              <w:rPr>
                <w:color w:val="000000"/>
                <w:sz w:val="24"/>
                <w:szCs w:val="24"/>
              </w:rPr>
              <w:t>000501</w:t>
            </w:r>
          </w:p>
        </w:tc>
        <w:tc>
          <w:tcPr>
            <w:vAlign w:val="center"/>
          </w:tcPr>
          <w:p>
            <w:pPr>
              <w:jc w:val="center"/>
            </w:pPr>
            <w:r>
              <w:rPr>
                <w:color w:val="000000"/>
                <w:sz w:val="24"/>
                <w:szCs w:val="24"/>
              </w:rPr>
              <w:t>鄂武商A</w:t>
            </w:r>
          </w:p>
        </w:tc>
        <w:tc>
          <w:tcPr>
            <w:vAlign w:val="center"/>
          </w:tcPr>
          <w:p>
            <w:pPr>
              <w:jc w:val="right"/>
            </w:pPr>
            <w:r>
              <w:rPr>
                <w:color w:val="000000"/>
                <w:sz w:val="24"/>
                <w:szCs w:val="24"/>
              </w:rPr>
              <w:t>13,335,301</w:t>
            </w:r>
          </w:p>
        </w:tc>
        <w:tc>
          <w:tcPr>
            <w:vAlign w:val="center"/>
          </w:tcPr>
          <w:p>
            <w:pPr>
              <w:jc w:val="right"/>
            </w:pPr>
            <w:r>
              <w:rPr>
                <w:color w:val="000000"/>
                <w:sz w:val="24"/>
                <w:szCs w:val="24"/>
              </w:rPr>
              <w:t>134,819,893.11</w:t>
            </w:r>
          </w:p>
        </w:tc>
        <w:tc>
          <w:tcPr>
            <w:vAlign w:val="center"/>
          </w:tcPr>
          <w:p>
            <w:pPr>
              <w:jc w:val="right"/>
            </w:pPr>
            <w:r>
              <w:rPr>
                <w:color w:val="000000"/>
                <w:sz w:val="24"/>
                <w:szCs w:val="24"/>
              </w:rPr>
              <w:t>3.37</w:t>
            </w:r>
          </w:p>
        </w:tc>
      </w:tr>
      <w:tr>
        <w:tc>
          <w:tcPr>
            <w:vAlign w:val="center"/>
          </w:tcPr>
          <w:p>
            <w:pPr>
              <w:jc w:val="center"/>
            </w:pPr>
            <w:r>
              <w:rPr>
                <w:color w:val="000000"/>
                <w:sz w:val="24"/>
                <w:szCs w:val="24"/>
              </w:rPr>
              <w:t>7</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7,260,973</w:t>
            </w:r>
          </w:p>
        </w:tc>
        <w:tc>
          <w:tcPr>
            <w:vAlign w:val="center"/>
          </w:tcPr>
          <w:p>
            <w:pPr>
              <w:jc w:val="right"/>
            </w:pPr>
            <w:r>
              <w:rPr>
                <w:color w:val="000000"/>
                <w:sz w:val="24"/>
                <w:szCs w:val="24"/>
              </w:rPr>
              <w:t>129,740,843.19</w:t>
            </w:r>
          </w:p>
        </w:tc>
        <w:tc>
          <w:tcPr>
            <w:vAlign w:val="center"/>
          </w:tcPr>
          <w:p>
            <w:pPr>
              <w:jc w:val="right"/>
            </w:pPr>
            <w:r>
              <w:rPr>
                <w:color w:val="000000"/>
                <w:sz w:val="24"/>
                <w:szCs w:val="24"/>
              </w:rPr>
              <w:t>3.24</w:t>
            </w:r>
          </w:p>
        </w:tc>
      </w:tr>
      <w:tr>
        <w:tc>
          <w:tcPr>
            <w:vAlign w:val="center"/>
          </w:tcPr>
          <w:p>
            <w:pPr>
              <w:jc w:val="center"/>
            </w:pPr>
            <w:r>
              <w:rPr>
                <w:color w:val="000000"/>
                <w:sz w:val="24"/>
                <w:szCs w:val="24"/>
              </w:rPr>
              <w:t>8</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5,567,895</w:t>
            </w:r>
          </w:p>
        </w:tc>
        <w:tc>
          <w:tcPr>
            <w:vAlign w:val="center"/>
          </w:tcPr>
          <w:p>
            <w:pPr>
              <w:jc w:val="right"/>
            </w:pPr>
            <w:r>
              <w:rPr>
                <w:color w:val="000000"/>
                <w:sz w:val="24"/>
                <w:szCs w:val="24"/>
              </w:rPr>
              <w:t>125,166,279.60</w:t>
            </w:r>
          </w:p>
        </w:tc>
        <w:tc>
          <w:tcPr>
            <w:vAlign w:val="center"/>
          </w:tcPr>
          <w:p>
            <w:pPr>
              <w:jc w:val="right"/>
            </w:pPr>
            <w:r>
              <w:rPr>
                <w:color w:val="000000"/>
                <w:sz w:val="24"/>
                <w:szCs w:val="24"/>
              </w:rPr>
              <w:t>3.13</w:t>
            </w:r>
          </w:p>
        </w:tc>
      </w:tr>
      <w:tr>
        <w:tc>
          <w:tcPr>
            <w:vAlign w:val="center"/>
          </w:tcPr>
          <w:p>
            <w:pPr>
              <w:jc w:val="center"/>
            </w:pPr>
            <w:r>
              <w:rPr>
                <w:color w:val="000000"/>
                <w:sz w:val="24"/>
                <w:szCs w:val="24"/>
              </w:rPr>
              <w:t>9</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3,539,386</w:t>
            </w:r>
          </w:p>
        </w:tc>
        <w:tc>
          <w:tcPr>
            <w:vAlign w:val="center"/>
          </w:tcPr>
          <w:p>
            <w:pPr>
              <w:jc w:val="right"/>
            </w:pPr>
            <w:r>
              <w:rPr>
                <w:color w:val="000000"/>
                <w:sz w:val="24"/>
                <w:szCs w:val="24"/>
              </w:rPr>
              <w:t>113,189,564.28</w:t>
            </w:r>
          </w:p>
        </w:tc>
        <w:tc>
          <w:tcPr>
            <w:vAlign w:val="center"/>
          </w:tcPr>
          <w:p>
            <w:pPr>
              <w:jc w:val="right"/>
            </w:pPr>
            <w:r>
              <w:rPr>
                <w:color w:val="000000"/>
                <w:sz w:val="24"/>
                <w:szCs w:val="24"/>
              </w:rPr>
              <w:t>2.83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14,299,911</w:t>
            </w:r>
          </w:p>
        </w:tc>
        <w:tc>
          <w:tcPr>
            <w:vAlign w:val="center"/>
          </w:tcPr>
          <w:p>
            <w:pPr>
              <w:jc w:val="right"/>
            </w:pPr>
            <w:r>
              <w:rPr>
                <w:color w:val="000000"/>
                <w:sz w:val="24"/>
                <w:szCs w:val="24"/>
              </w:rPr>
              <w:t>110,967,309.36</w:t>
            </w:r>
          </w:p>
        </w:tc>
        <w:tc>
          <w:tcPr>
            <w:vAlign w:val="center"/>
          </w:tcPr>
          <w:p>
            <w:pPr>
              <w:jc w:val="right"/>
            </w:pPr>
            <w:r>
              <w:rPr>
                <w:color w:val="000000"/>
                <w:sz w:val="24"/>
                <w:szCs w:val="24"/>
              </w:rPr>
              <w:t>2.78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189,822,000.00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189,822,000.00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60,165.60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189,882,165.60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1,100,000</w:t>
            </w:r>
          </w:p>
        </w:tc>
        <w:tc>
          <w:tcPr>
            <w:vAlign w:val="center"/>
          </w:tcPr>
          <w:p>
            <w:pPr>
              <w:jc w:val="right"/>
            </w:pPr>
            <w:r>
              <w:rPr>
                <w:color w:val="000000"/>
                <w:sz w:val="24"/>
                <w:szCs w:val="24"/>
              </w:rPr>
              <w:t>109,846,000.00</w:t>
            </w:r>
          </w:p>
        </w:tc>
        <w:tc>
          <w:tcPr>
            <w:vAlign w:val="center"/>
          </w:tcPr>
          <w:p>
            <w:pPr>
              <w:jc w:val="right"/>
            </w:pPr>
            <w:r>
              <w:rPr>
                <w:color w:val="000000"/>
                <w:sz w:val="24"/>
                <w:szCs w:val="24"/>
              </w:rPr>
              <w:t>2.75</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800,000</w:t>
            </w:r>
          </w:p>
        </w:tc>
        <w:tc>
          <w:tcPr>
            <w:vAlign w:val="center"/>
          </w:tcPr>
          <w:p>
            <w:pPr>
              <w:jc w:val="right"/>
            </w:pPr>
            <w:r>
              <w:rPr>
                <w:color w:val="000000"/>
                <w:sz w:val="24"/>
                <w:szCs w:val="24"/>
              </w:rPr>
              <w:t>79,976,000.00</w:t>
            </w:r>
          </w:p>
        </w:tc>
        <w:tc>
          <w:tcPr>
            <w:vAlign w:val="center"/>
          </w:tcPr>
          <w:p>
            <w:pPr>
              <w:jc w:val="right"/>
            </w:pPr>
            <w:r>
              <w:rPr>
                <w:color w:val="000000"/>
                <w:sz w:val="24"/>
                <w:szCs w:val="24"/>
              </w:rPr>
              <w:t>2.00</w:t>
            </w:r>
          </w:p>
        </w:tc>
      </w:tr>
      <w:tr>
        <w:tc>
          <w:tcPr>
            <w:vAlign w:val="center"/>
          </w:tcPr>
          <w:p>
            <w:pPr>
              <w:jc w:val="center"/>
            </w:pPr>
            <w:r>
              <w:rPr>
                <w:color w:val="000000"/>
                <w:sz w:val="24"/>
                <w:szCs w:val="24"/>
              </w:rPr>
              <w:t>3</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530</w:t>
            </w:r>
          </w:p>
        </w:tc>
        <w:tc>
          <w:tcPr>
            <w:vAlign w:val="center"/>
          </w:tcPr>
          <w:p>
            <w:pPr>
              <w:jc w:val="right"/>
            </w:pPr>
            <w:r>
              <w:rPr>
                <w:color w:val="000000"/>
                <w:sz w:val="24"/>
                <w:szCs w:val="24"/>
              </w:rPr>
              <w:t>60,165.60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1,345,570.06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15,824,571.38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1,744,926.74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23,552,611.95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42,467,680.13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60,165.60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23,166,000.00</w:t>
            </w:r>
          </w:p>
        </w:tc>
        <w:tc>
          <w:tcPr>
            <w:vAlign w:val="center"/>
          </w:tcPr>
          <w:p>
            <w:pPr>
              <w:jc w:val="right"/>
            </w:pPr>
            <w:r>
              <w:rPr>
                <w:color w:val="000000"/>
                <w:sz w:val="24"/>
                <w:szCs w:val="24"/>
              </w:rPr>
              <w:t>0.58</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1,782,107,607.33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471,871,928.92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567,441,262.34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1,686,538,273.91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