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FC7F43" w:rsidRDefault="00FC7F4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2D2A00" w:rsidRPr="005858C2">
      <w:pPr>
        <w:spacing w:before="29" w:line="288" w:lineRule="auto"/>
        <w:jc w:val="center"/>
        <w:rPr>
          <w:rFonts w:eastAsiaTheme="minorEastAsia"/>
          <w:b/>
          <w:sz w:val="36"/>
          <w:szCs w:val="36"/>
        </w:rPr>
      </w:pPr>
      <w:r w:rsidRPr="005858C2">
        <w:rPr>
          <w:rFonts w:eastAsiaTheme="minorEastAsia"/>
          <w:b/>
          <w:sz w:val="36"/>
          <w:szCs w:val="36"/>
        </w:rPr>
        <w:t>交银施罗德新回报灵活配置混合型证券投资基金</w:t>
      </w:r>
    </w:p>
    <w:p w:rsidP="007C14DF" w:rsidR="002D2A00" w:rsidRDefault="002D2A00" w:rsidRPr="005858C2">
      <w:pPr>
        <w:spacing w:before="29" w:line="288" w:lineRule="auto"/>
        <w:jc w:val="center"/>
        <w:rPr>
          <w:rFonts w:eastAsiaTheme="minorEastAsia"/>
          <w:b/>
          <w:sz w:val="36"/>
          <w:szCs w:val="36"/>
        </w:rPr>
      </w:pPr>
      <w:r w:rsidRPr="005858C2">
        <w:rPr>
          <w:rFonts w:eastAsiaTheme="minorEastAsia"/>
          <w:b/>
          <w:sz w:val="36"/>
          <w:szCs w:val="36"/>
        </w:rPr>
        <w:t>2019年第3季度报告</w:t>
      </w:r>
    </w:p>
    <w:p w:rsidP="007C14DF" w:rsidR="009A2283" w:rsidRDefault="00577209" w:rsidRPr="005858C2">
      <w:pPr>
        <w:spacing w:before="29" w:line="288" w:lineRule="auto"/>
        <w:jc w:val="center"/>
        <w:rPr>
          <w:b/>
          <w:sz w:val="36"/>
          <w:szCs w:val="36"/>
        </w:rPr>
      </w:pPr>
      <w:r w:rsidRPr="005858C2">
        <w:rPr>
          <w:b/>
          <w:sz w:val="36"/>
          <w:szCs w:val="36"/>
        </w:rPr>
        <w:t/>
      </w:r>
      <w:r w:rsidR="00121533" w:rsidRPr="005858C2">
        <w:rPr>
          <w:b/>
          <w:sz w:val="36"/>
          <w:szCs w:val="36"/>
        </w:rPr>
        <w:t>2019年9月30日</w:t>
      </w: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657487">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E27360" w:rsidRDefault="00E27360"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rPr>
          <w:color w:val="000000"/>
          <w:sz w:val="24"/>
        </w:rPr>
      </w:pPr>
    </w:p>
    <w:p w:rsidP="007C14DF" w:rsidR="00BD1A02" w:rsidRDefault="009A2283" w:rsidRPr="005858C2">
      <w:pPr>
        <w:spacing w:before="29" w:line="288" w:lineRule="auto"/>
        <w:ind w:firstLine="2168" w:firstLineChars="900"/>
        <w:rPr>
          <w:b/>
          <w:color w:val="000000"/>
          <w:sz w:val="24"/>
        </w:rPr>
      </w:pPr>
      <w:r w:rsidRPr="005858C2">
        <w:rPr>
          <w:b/>
          <w:color w:val="000000"/>
          <w:sz w:val="24"/>
        </w:rPr>
        <w:t>基金管理人：</w:t>
      </w:r>
      <w:r w:rsidR="00BF377F" w:rsidRPr="005858C2">
        <w:rPr>
          <w:b/>
          <w:color w:val="000000"/>
          <w:sz w:val="24"/>
        </w:rPr>
        <w:t>交银施罗德基金管理有限公司</w:t>
      </w:r>
    </w:p>
    <w:p w:rsidP="007C14DF" w:rsidR="00BD1A02" w:rsidRDefault="009A2283" w:rsidRPr="005858C2">
      <w:pPr>
        <w:spacing w:before="29" w:line="288" w:lineRule="auto"/>
        <w:ind w:firstLine="2168" w:firstLineChars="900"/>
        <w:rPr>
          <w:b/>
          <w:color w:val="000000"/>
          <w:sz w:val="24"/>
        </w:rPr>
      </w:pPr>
      <w:r w:rsidRPr="005858C2">
        <w:rPr>
          <w:b/>
          <w:color w:val="000000"/>
          <w:sz w:val="24"/>
        </w:rPr>
        <w:t>基金托管人：</w:t>
      </w:r>
      <w:r w:rsidR="00BF377F" w:rsidRPr="005858C2">
        <w:rPr>
          <w:b/>
          <w:color w:val="000000"/>
          <w:sz w:val="24"/>
        </w:rPr>
        <w:t>中信银行股份有限公司</w:t>
      </w:r>
    </w:p>
    <w:p w:rsidP="007C14DF" w:rsidR="009A2283" w:rsidRDefault="009A2283" w:rsidRPr="005858C2">
      <w:pPr>
        <w:spacing w:before="29" w:line="288" w:lineRule="auto"/>
        <w:ind w:firstLine="2168" w:firstLineChars="900"/>
        <w:rPr>
          <w:b/>
          <w:sz w:val="24"/>
        </w:rPr>
        <w:sectPr w:rsidR="009A2283" w:rsidRPr="005858C2" w:rsidSect="00D3445F">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40" w:right="1440" w:top="1418"/>
          <w:cols w:space="720"/>
          <w:noEndnote/>
          <w:titlePg/>
          <w:docGrid w:linePitch="286"/>
        </w:sectPr>
      </w:pPr>
      <w:r w:rsidRPr="005858C2">
        <w:rPr>
          <w:b/>
          <w:color w:val="000000"/>
          <w:sz w:val="24"/>
        </w:rPr>
        <w:t>报告送出日期：</w:t>
      </w:r>
      <w:r w:rsidR="00D04410" w:rsidRPr="005858C2">
        <w:rPr>
          <w:b/>
          <w:color w:val="000000"/>
          <w:sz w:val="24"/>
        </w:rPr>
        <w:t>二〇一九年十月二十二日</w:t>
      </w:r>
    </w:p>
    <w:p w:rsidP="000A2988" w:rsidR="009238DB" w:rsidRDefault="009238DB" w:rsidRPr="007F52FA">
      <w:pPr>
        <w:pStyle w:val="1"/>
        <w:spacing w:after="312" w:afterLines="100" w:before="312" w:beforeLines="100"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基金托管人中信银行股份有限公司根据本基金合同规定，于2019年10月21日复核了本报告中的财务指标、净值表现和投资组合报告等内容，保证复核内容不存在虚假记载、误导性陈述或者重大遗漏。 </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基金管理人承诺以诚实信用、勤勉尽责的原则管理和运用基金资产，但不保证基金一定盈利。 </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基金的过往业绩并不代表其未来表现。投资有风险，投资者在作出投资决策前应仔细阅读本基金的招募说明书。 </w:t>
      </w:r>
    </w:p>
    <w:p>
      <w:pPr>
        <w:spacing w:before="29" w:line="288" w:lineRule="auto"/>
        <w:ind w:firstLine="480" w:firstLineChars="200"/>
        <w:rPr>
          <w:rFonts w:eastAsiaTheme="minorEastAsia"/>
          <w:color w:val="000000"/>
          <w:sz w:val="24"/>
        </w:rPr>
      </w:pPr>
      <w:r>
        <w:rPr>
          <w:rFonts w:eastAsiaTheme="minorEastAsia"/>
          <w:color w:val="000000"/>
          <w:sz w:val="24"/>
        </w:rPr>
        <w:t>本报告中财务资料未经审计。</w:t>
      </w:r>
    </w:p>
    <w:p w:rsidP="007C14DF" w:rsidR="009238DB" w:rsidRDefault="00267DA9"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本报告期自2019年7月1日起至9月30日止。</w:t>
      </w:r>
    </w:p>
    <w:p w:rsidP="007C14DF" w:rsidR="00740635" w:rsidRDefault="00740635" w:rsidRPr="007F52FA">
      <w:pPr>
        <w:spacing w:before="29" w:line="288" w:lineRule="auto"/>
        <w:ind w:firstLine="480" w:firstLineChars="200"/>
        <w:rPr>
          <w:rFonts w:eastAsiaTheme="minorEastAsia"/>
          <w:color w:val="000000"/>
          <w:sz w:val="24"/>
        </w:rPr>
      </w:pPr>
    </w:p>
    <w:p w:rsidP="000A2988" w:rsidR="009238DB" w:rsidRDefault="009238DB" w:rsidRPr="007F52FA">
      <w:pPr>
        <w:pStyle w:val="1"/>
        <w:spacing w:after="312" w:afterLines="100" w:before="312" w:beforeLines="100"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type="dxa" w:w="8993"/>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3048"/>
      </w:tblGrid>
      <w:tr w:rsidR="00A6200E" w:rsidRPr="007F52FA" w:rsidTr="009416C9">
        <w:trPr>
          <w:jc w:val="center"/>
        </w:trPr>
        <w:tc>
          <w:tcPr>
            <w:tcW w:type="dxa" w:w="3023"/>
            <w:vAlign w:val="center"/>
          </w:tcPr>
          <w:p w:rsidP="007C14DF" w:rsidR="00A6200E" w:rsidRDefault="00A6200E" w:rsidRPr="007F52FA">
            <w:pPr>
              <w:adjustRightInd w:val="0"/>
              <w:spacing w:before="29" w:line="288" w:lineRule="auto"/>
              <w:ind w:left="17"/>
              <w:jc w:val="left"/>
              <w:rPr>
                <w:kern w:val="0"/>
                <w:sz w:val="24"/>
              </w:rPr>
            </w:pPr>
            <w:r w:rsidRPr="007F52FA">
              <w:rPr>
                <w:kern w:val="0"/>
                <w:sz w:val="24"/>
              </w:rPr>
              <w:t>基金简称</w:t>
            </w:r>
          </w:p>
        </w:tc>
        <w:tc>
          <w:tcPr>
            <w:tcW w:type="dxa" w:w="5970"/>
            <w:gridSpan w:val="2"/>
            <w:vAlign w:val="center"/>
          </w:tcPr>
          <w:p w:rsidP="007C14DF" w:rsidR="00A6200E" w:rsidRDefault="00A6200E" w:rsidRPr="007F52FA">
            <w:pPr>
              <w:adjustRightInd w:val="0"/>
              <w:spacing w:before="29" w:line="288" w:lineRule="auto"/>
              <w:ind w:left="17"/>
              <w:jc w:val="left"/>
              <w:rPr>
                <w:color w:val="000000"/>
                <w:kern w:val="0"/>
                <w:sz w:val="24"/>
              </w:rPr>
            </w:pPr>
            <w:r w:rsidRPr="007F52FA">
              <w:rPr>
                <w:color w:val="000000"/>
                <w:kern w:val="0"/>
                <w:sz w:val="24"/>
              </w:rPr>
              <w:t>交银新回报灵活配置混合</w:t>
            </w:r>
          </w:p>
        </w:tc>
      </w:tr>
      <w:tr w:rsidR="00B95753" w:rsidRPr="007F52FA" w:rsidTr="009416C9">
        <w:trPr>
          <w:jc w:val="center"/>
        </w:trPr>
        <w:tc>
          <w:tcPr>
            <w:tcW w:type="dxa" w:w="3023"/>
            <w:vAlign w:val="center"/>
          </w:tcPr>
          <w:p w:rsidP="007C14DF" w:rsidR="00B95753" w:rsidRDefault="00B95753" w:rsidRPr="007F52FA">
            <w:pPr>
              <w:adjustRightInd w:val="0"/>
              <w:spacing w:before="29" w:line="288" w:lineRule="auto"/>
              <w:ind w:left="17"/>
              <w:jc w:val="left"/>
              <w:rPr>
                <w:kern w:val="0"/>
                <w:sz w:val="24"/>
              </w:rPr>
            </w:pPr>
            <w:r w:rsidRPr="007F52FA">
              <w:rPr>
                <w:kern w:val="0"/>
                <w:sz w:val="24"/>
              </w:rPr>
              <w:t>基金主代码</w:t>
            </w:r>
          </w:p>
        </w:tc>
        <w:tc>
          <w:tcPr>
            <w:tcW w:type="dxa" w:w="5970"/>
            <w:gridSpan w:val="2"/>
            <w:tcBorders>
              <w:bottom w:color="auto" w:space="0" w:sz="4" w:val="single"/>
            </w:tcBorders>
            <w:vAlign w:val="center"/>
          </w:tcPr>
          <w:p w:rsidP="007C14DF" w:rsidR="00B95753" w:rsidRDefault="00B95753" w:rsidRPr="007F52FA">
            <w:pPr>
              <w:adjustRightInd w:val="0"/>
              <w:spacing w:before="29" w:line="288" w:lineRule="auto"/>
              <w:ind w:left="17"/>
              <w:jc w:val="left"/>
              <w:rPr>
                <w:color w:val="000000"/>
                <w:kern w:val="0"/>
                <w:sz w:val="24"/>
              </w:rPr>
            </w:pPr>
            <w:r w:rsidRPr="007F52FA">
              <w:rPr>
                <w:color w:val="000000"/>
                <w:kern w:val="0"/>
                <w:sz w:val="24"/>
              </w:rPr>
              <w:t>519752</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基金运作方式</w:t>
            </w:r>
          </w:p>
        </w:tc>
        <w:tc>
          <w:tcPr>
            <w:tcW w:type="dxa" w:w="5970"/>
            <w:gridSpan w:val="2"/>
            <w:tcBorders>
              <w:top w:color="auto" w:space="0" w:sz="4" w:val="single"/>
            </w:tcBorders>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基金合同生效日</w:t>
            </w:r>
          </w:p>
        </w:tc>
        <w:tc>
          <w:tcPr>
            <w:tcW w:type="dxa" w:w="5970"/>
            <w:gridSpan w:val="2"/>
            <w:vAlign w:val="center"/>
          </w:tcPr>
          <w:p w:rsidP="007C14DF" w:rsidR="008532F3" w:rsidRDefault="008532F3" w:rsidRPr="007F52FA">
            <w:pPr>
              <w:adjustRightInd w:val="0"/>
              <w:spacing w:before="29" w:line="288" w:lineRule="auto"/>
              <w:ind w:left="17"/>
              <w:jc w:val="left"/>
              <w:rPr>
                <w:color w:val="000000"/>
                <w:kern w:val="0"/>
                <w:sz w:val="24"/>
              </w:rPr>
            </w:pPr>
            <w:r w:rsidRPr="007F52FA">
              <w:rPr>
                <w:color w:val="000000"/>
                <w:kern w:val="0"/>
                <w:sz w:val="24"/>
              </w:rPr>
              <w:t>2015年5月15日</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报告期末基金份额总额</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407,198,828.28</w:t>
            </w:r>
            <w:r w:rsidRPr="007F52FA">
              <w:rPr>
                <w:color w:val="000000"/>
                <w:kern w:val="0"/>
                <w:sz w:val="24"/>
              </w:rPr>
              <w:t>份</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投资目标</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本基金结合基金管理人对宏观经济周期和金融市场运行趋势的判断，自上而下进行宏观分析，自下而上精选投资标的，通过灵活的资产配置策略和积极主动的投资管理，在控制下行风险的前提下，力争为投资者提供长期稳健的投资回报。</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投资策略</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业绩比较基准</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50%×沪深300指数收益率+50%×中债综合全价指数收益率</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风险收益特征</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本基金是一只混合型基金，其风险和预期收益高于债券型基金和货币市场基金，低于股票型基金。属于承担较高风险、预期收益较高的证券投资基金品种。</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基金管理人</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基金托管人</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中信银行股份有限公司</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kern w:val="0"/>
                <w:sz w:val="24"/>
              </w:rPr>
            </w:pPr>
            <w:r w:rsidRPr="007F52FA">
              <w:rPr>
                <w:color w:val="000000"/>
                <w:sz w:val="24"/>
              </w:rPr>
              <w:t>下属两级基金的基金简称</w:t>
            </w:r>
          </w:p>
        </w:tc>
        <w:tc>
          <w:tcPr>
            <w:tcW w:type="dxa" w:w="2922"/>
            <w:vAlign w:val="center"/>
          </w:tcPr>
          <w:p w:rsidP="007C14DF" w:rsidR="008532F3" w:rsidRDefault="008532F3" w:rsidRPr="007F52FA">
            <w:pPr>
              <w:spacing w:before="29" w:line="288" w:lineRule="auto"/>
              <w:jc w:val="left"/>
              <w:rPr>
                <w:sz w:val="24"/>
              </w:rPr>
            </w:pPr>
            <w:r w:rsidRPr="007F52FA">
              <w:rPr>
                <w:color w:val="000000"/>
                <w:kern w:val="0"/>
                <w:sz w:val="24"/>
              </w:rPr>
              <w:t/>
            </w:r>
            <w:r w:rsidRPr="007F52FA">
              <w:rPr>
                <w:sz w:val="24"/>
              </w:rPr>
              <w:t>交银新回报灵活配置混合A</w:t>
            </w:r>
          </w:p>
        </w:tc>
        <w:tc>
          <w:tcPr>
            <w:tcW w:type="dxa" w:w="3048"/>
            <w:vAlign w:val="center"/>
          </w:tcPr>
          <w:p w:rsidP="007C14DF" w:rsidR="008532F3" w:rsidRDefault="008532F3" w:rsidRPr="007F52FA">
            <w:pPr>
              <w:spacing w:before="29" w:line="288" w:lineRule="auto"/>
              <w:jc w:val="left"/>
              <w:rPr>
                <w:sz w:val="24"/>
              </w:rPr>
            </w:pPr>
            <w:r w:rsidRPr="007F52FA">
              <w:rPr>
                <w:color w:val="000000"/>
                <w:kern w:val="0"/>
                <w:sz w:val="24"/>
              </w:rPr>
              <w:t/>
            </w:r>
            <w:r w:rsidRPr="007F52FA">
              <w:rPr>
                <w:sz w:val="24"/>
              </w:rPr>
              <w:t>交银新回报灵活配置混合C</w:t>
            </w:r>
          </w:p>
        </w:tc>
      </w:tr>
      <w:tr w:rsidR="00C23B30" w:rsidRPr="007F52FA" w:rsidTr="009416C9">
        <w:trPr>
          <w:jc w:val="center"/>
        </w:trPr>
        <w:tc>
          <w:tcPr>
            <w:tcW w:type="dxa" w:w="3023"/>
            <w:vAlign w:val="center"/>
          </w:tcPr>
          <w:p w:rsidP="007C14DF" w:rsidR="00C23B30" w:rsidRDefault="007C3DC6">
            <w:pPr>
              <w:adjustRightInd w:val="0"/>
              <w:spacing w:before="29" w:line="288" w:lineRule="auto"/>
              <w:ind w:left="17"/>
              <w:jc w:val="left"/>
              <w:rPr>
                <w:color w:val="000000"/>
                <w:sz w:val="24"/>
              </w:rPr>
            </w:pPr>
            <w:r w:rsidRPr="007F52FA">
              <w:rPr>
                <w:color w:val="000000"/>
                <w:sz w:val="24"/>
              </w:rPr>
              <w:t>下属两级基金的交易代码</w:t>
            </w:r>
          </w:p>
          <w:p w:rsidP="00C01EF2" w:rsidR="00C01EF2" w:rsidRDefault="00C01EF2" w:rsidRPr="007F52FA">
            <w:pPr>
              <w:adjustRightInd w:val="0"/>
              <w:spacing w:before="29" w:line="288" w:lineRule="auto"/>
              <w:ind w:left="17"/>
              <w:jc w:val="left"/>
              <w:rPr>
                <w:color w:val="000000"/>
                <w:sz w:val="24"/>
              </w:rPr>
            </w:pPr>
            <w:r w:rsidRPr="007F52FA">
              <w:rPr>
                <w:color w:themeColor="text1" w:val="000000"/>
                <w:sz w:val="24"/>
              </w:rPr>
              <w:t/>
            </w:r>
            <w:r w:rsidRPr="000E4C40">
              <w:rPr>
                <w:color w:val="000000"/>
                <w:kern w:val="0"/>
                <w:sz w:val="24"/>
              </w:rPr>
              <w:t/>
            </w:r>
            <w:r>
              <w:rPr>
                <w:rFonts w:hint="eastAsia"/>
                <w:color w:val="000000"/>
                <w:kern w:val="0"/>
                <w:sz w:val="24"/>
              </w:rPr>
              <w:t/>
            </w:r>
            <w:r w:rsidRPr="000E4C40">
              <w:rPr>
                <w:sz w:val="24"/>
              </w:rPr>
              <w:t/>
            </w:r>
          </w:p>
        </w:tc>
        <w:tc>
          <w:tcPr>
            <w:tcW w:type="dxa" w:w="2922"/>
            <w:vAlign w:val="center"/>
          </w:tcPr>
          <w:p w:rsidP="007F50FB" w:rsidR="00C23B30" w:rsidRDefault="00C23B30" w:rsidRPr="000E4C40">
            <w:pPr>
              <w:spacing w:before="29" w:line="288" w:lineRule="auto"/>
              <w:jc w:val="left"/>
              <w:rPr>
                <w:sz w:val="24"/>
              </w:rPr>
            </w:pPr>
            <w:r w:rsidRPr="007F52FA">
              <w:rPr>
                <w:color w:themeColor="text1" w:val="000000"/>
                <w:sz w:val="24"/>
              </w:rPr>
              <w:t/>
            </w:r>
            <w:r w:rsidRPr="000E4C40">
              <w:rPr>
                <w:color w:val="000000"/>
                <w:kern w:val="0"/>
                <w:sz w:val="24"/>
              </w:rPr>
              <w:t/>
            </w:r>
            <w:r w:rsidRPr="000E4C40">
              <w:rPr>
                <w:sz w:val="24"/>
              </w:rPr>
              <w:t>519752</w:t>
            </w:r>
          </w:p>
        </w:tc>
        <w:tc>
          <w:tcPr>
            <w:tcW w:type="dxa" w:w="3048"/>
            <w:vAlign w:val="center"/>
          </w:tcPr>
          <w:p w:rsidP="00A52A9E" w:rsidR="00C23B30" w:rsidRDefault="00261F47" w:rsidRPr="000E4C40">
            <w:pPr>
              <w:spacing w:before="29" w:line="288" w:lineRule="auto"/>
              <w:jc w:val="left"/>
              <w:rPr>
                <w:sz w:val="24"/>
              </w:rPr>
            </w:pPr>
            <w:r w:rsidRPr="007F52FA">
              <w:rPr>
                <w:color w:themeColor="text1" w:val="000000"/>
                <w:sz w:val="24"/>
              </w:rPr>
              <w:t/>
            </w:r>
            <w:r w:rsidR="00C23B30" w:rsidRPr="000E4C40">
              <w:rPr>
                <w:color w:val="000000"/>
                <w:kern w:val="0"/>
                <w:sz w:val="24"/>
              </w:rPr>
              <w:t/>
            </w:r>
            <w:r w:rsidR="00C23B30" w:rsidRPr="000E4C40">
              <w:rPr>
                <w:sz w:val="24"/>
              </w:rPr>
              <w:t/>
            </w:r>
            <w:r w:rsidR="00A52A9E">
              <w:rPr>
                <w:sz w:val="24"/>
              </w:rPr>
              <w:t/>
            </w:r>
            <w:r w:rsidR="00C23B30" w:rsidRPr="000E4C40">
              <w:rPr>
                <w:sz w:val="24"/>
              </w:rPr>
              <w:t>519760</w:t>
            </w:r>
          </w:p>
        </w:tc>
      </w:tr>
      <w:tr w:rsidR="00C23B30" w:rsidRPr="007F52FA" w:rsidTr="009416C9">
        <w:trPr>
          <w:jc w:val="center"/>
        </w:trPr>
        <w:tc>
          <w:tcPr>
            <w:tcW w:type="dxa" w:w="3023"/>
            <w:vAlign w:val="center"/>
          </w:tcPr>
          <w:p w:rsidP="007C14DF" w:rsidR="00C23B30" w:rsidRDefault="00C23B30" w:rsidRPr="007F52FA">
            <w:pPr>
              <w:adjustRightInd w:val="0"/>
              <w:spacing w:before="29" w:line="288" w:lineRule="auto"/>
              <w:ind w:left="17"/>
              <w:jc w:val="left"/>
              <w:rPr>
                <w:color w:val="000000"/>
                <w:sz w:val="24"/>
              </w:rPr>
            </w:pPr>
            <w:r w:rsidRPr="007F52FA">
              <w:rPr>
                <w:color w:val="000000"/>
                <w:sz w:val="24"/>
              </w:rPr>
              <w:t>报告期末下属两级基金的份额总额</w:t>
            </w:r>
          </w:p>
        </w:tc>
        <w:tc>
          <w:tcPr>
            <w:tcW w:type="dxa" w:w="2922"/>
            <w:vAlign w:val="center"/>
          </w:tcPr>
          <w:p w:rsidP="007C14DF" w:rsidR="00C23B30" w:rsidRDefault="00C23B30" w:rsidRPr="007F52FA">
            <w:pPr>
              <w:spacing w:before="29" w:line="288" w:lineRule="auto"/>
              <w:jc w:val="left"/>
              <w:rPr>
                <w:sz w:val="24"/>
              </w:rPr>
            </w:pPr>
            <w:r w:rsidRPr="007F52FA">
              <w:rPr>
                <w:color w:val="000000"/>
                <w:kern w:val="0"/>
                <w:sz w:val="24"/>
              </w:rPr>
              <w:t/>
            </w:r>
            <w:r w:rsidRPr="007F52FA">
              <w:rPr>
                <w:sz w:val="24"/>
              </w:rPr>
              <w:t>395,235,116.48</w:t>
            </w:r>
            <w:r w:rsidRPr="007F52FA">
              <w:rPr>
                <w:color w:val="000000"/>
                <w:kern w:val="0"/>
                <w:sz w:val="24"/>
              </w:rPr>
              <w:t>份</w:t>
            </w:r>
          </w:p>
        </w:tc>
        <w:tc>
          <w:tcPr>
            <w:tcW w:type="dxa" w:w="3048"/>
            <w:vAlign w:val="center"/>
          </w:tcPr>
          <w:p w:rsidP="007C14DF" w:rsidR="00C23B30" w:rsidRDefault="00C23B30" w:rsidRPr="007F52FA">
            <w:pPr>
              <w:spacing w:before="29" w:line="288" w:lineRule="auto"/>
              <w:jc w:val="left"/>
              <w:rPr>
                <w:sz w:val="24"/>
              </w:rPr>
            </w:pPr>
            <w:r w:rsidRPr="007F52FA">
              <w:rPr>
                <w:color w:val="000000"/>
                <w:kern w:val="0"/>
                <w:sz w:val="24"/>
              </w:rPr>
              <w:t/>
            </w:r>
            <w:r w:rsidRPr="007F52FA">
              <w:rPr>
                <w:sz w:val="24"/>
              </w:rPr>
              <w:t>11,963,711.80</w:t>
            </w:r>
            <w:r w:rsidRPr="007F52FA">
              <w:rPr>
                <w:color w:val="000000"/>
                <w:kern w:val="0"/>
                <w:sz w:val="24"/>
              </w:rPr>
              <w:t>份</w:t>
            </w:r>
          </w:p>
        </w:tc>
      </w:tr>
    </w:tbl>
    <w:p w:rsidP="007C14DF" w:rsidR="00740635" w:rsidRDefault="00740635" w:rsidRPr="007F52FA">
      <w:pPr>
        <w:autoSpaceDE w:val="0"/>
        <w:autoSpaceDN w:val="0"/>
        <w:adjustRightInd w:val="0"/>
        <w:spacing w:before="29" w:line="288" w:lineRule="auto"/>
        <w:jc w:val="left"/>
        <w:rPr>
          <w:rFonts w:eastAsiaTheme="minorEastAsia"/>
          <w:color w:val="000000"/>
          <w:sz w:val="24"/>
        </w:rPr>
      </w:pPr>
    </w:p>
    <w:p w:rsidP="000A2988" w:rsidR="009238DB" w:rsidRDefault="009238DB" w:rsidRPr="007F52FA">
      <w:pPr>
        <w:pStyle w:val="1"/>
        <w:spacing w:after="312" w:afterLines="100" w:before="312" w:beforeLines="100"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P="007C14DF" w:rsidR="009238DB" w:rsidRDefault="009238DB" w:rsidRPr="007F52FA">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6"/>
        <w:gridCol w:w="2631"/>
        <w:gridCol w:w="2631"/>
      </w:tblGrid>
      <w:tr w:rsidR="009E549D" w:rsidRPr="007F52FA" w:rsidTr="007A5233">
        <w:trPr>
          <w:jc w:val="center"/>
        </w:trPr>
        <w:tc>
          <w:tcPr>
            <w:tcW w:type="dxa" w:w="3402"/>
            <w:vMerge w:val="restart"/>
            <w:vAlign w:val="center"/>
          </w:tcPr>
          <w:p w:rsidP="007C14DF" w:rsidR="009E549D" w:rsidRDefault="009E549D" w:rsidRPr="007F52FA">
            <w:pPr>
              <w:adjustRightInd w:val="0"/>
              <w:spacing w:before="29" w:line="288" w:lineRule="auto"/>
              <w:ind w:left="17"/>
              <w:jc w:val="center"/>
              <w:rPr>
                <w:kern w:val="0"/>
                <w:sz w:val="24"/>
              </w:rPr>
            </w:pPr>
            <w:r w:rsidRPr="007F52FA">
              <w:rPr>
                <w:kern w:val="0"/>
                <w:sz w:val="24"/>
              </w:rPr>
              <w:t>主要财务指标</w:t>
            </w:r>
          </w:p>
        </w:tc>
        <w:tc>
          <w:tcPr>
            <w:tcW w:type="dxa" w:w="4962"/>
            <w:gridSpan w:val="2"/>
            <w:vAlign w:val="center"/>
          </w:tcPr>
          <w:p w:rsidP="00BF5A58" w:rsidR="00BF5A58" w:rsidRDefault="00BF5A58" w:rsidRPr="00414345">
            <w:pPr>
              <w:adjustRightInd w:val="0"/>
              <w:spacing w:before="29" w:line="288" w:lineRule="auto"/>
              <w:ind w:left="17"/>
              <w:jc w:val="center"/>
              <w:rPr>
                <w:color w:val="000000"/>
                <w:sz w:val="24"/>
              </w:rPr>
            </w:pPr>
            <w:r w:rsidRPr="00414345">
              <w:rPr>
                <w:color w:val="000000"/>
                <w:sz w:val="24"/>
              </w:rPr>
              <w:t>报告期</w:t>
            </w:r>
          </w:p>
          <w:p w:rsidP="00BF5A58" w:rsidR="009E549D" w:rsidRDefault="00BF5A58" w:rsidRPr="007F52FA">
            <w:pPr>
              <w:adjustRightInd w:val="0"/>
              <w:spacing w:before="29" w:line="288" w:lineRule="auto"/>
              <w:ind w:left="17"/>
              <w:jc w:val="center"/>
              <w:rPr>
                <w:color w:val="000000"/>
                <w:sz w:val="24"/>
              </w:rPr>
            </w:pPr>
            <w:r w:rsidRPr="00414345">
              <w:rPr>
                <w:color w:val="000000"/>
                <w:sz w:val="24"/>
              </w:rPr>
              <w:t>(2019年7月1日-2019年9月30日)</w:t>
            </w:r>
          </w:p>
        </w:tc>
      </w:tr>
      <w:tr w:rsidR="009E549D" w:rsidRPr="007F52FA" w:rsidTr="007A5233">
        <w:trPr>
          <w:jc w:val="center"/>
        </w:trPr>
        <w:tc>
          <w:tcPr>
            <w:tcW w:type="dxa" w:w="3402"/>
            <w:vMerge/>
            <w:vAlign w:val="center"/>
          </w:tcPr>
          <w:p w:rsidP="007C14DF" w:rsidR="009E549D" w:rsidRDefault="009E549D" w:rsidRPr="007F52FA">
            <w:pPr>
              <w:adjustRightInd w:val="0"/>
              <w:spacing w:before="29" w:line="288" w:lineRule="auto"/>
              <w:ind w:left="17"/>
              <w:jc w:val="center"/>
              <w:rPr>
                <w:kern w:val="0"/>
                <w:sz w:val="24"/>
              </w:rPr>
            </w:pPr>
          </w:p>
        </w:tc>
        <w:tc>
          <w:tcPr>
            <w:tcW w:type="dxa" w:w="2481"/>
            <w:vAlign w:val="center"/>
          </w:tcPr>
          <w:p w:rsidP="007C14DF" w:rsidR="009E549D" w:rsidRDefault="009E549D" w:rsidRPr="007F52FA">
            <w:pPr>
              <w:adjustRightInd w:val="0"/>
              <w:spacing w:before="29" w:line="288" w:lineRule="auto"/>
              <w:ind w:left="17"/>
              <w:jc w:val="center"/>
              <w:rPr>
                <w:color w:val="000000"/>
                <w:sz w:val="24"/>
              </w:rPr>
            </w:pPr>
            <w:r w:rsidRPr="007F52FA">
              <w:rPr>
                <w:color w:val="000000"/>
                <w:kern w:val="0"/>
                <w:sz w:val="24"/>
              </w:rPr>
              <w:t/>
            </w:r>
            <w:r w:rsidRPr="007F52FA">
              <w:rPr>
                <w:sz w:val="24"/>
              </w:rPr>
              <w:t>交银新回报灵活配置混合A</w:t>
            </w:r>
          </w:p>
        </w:tc>
        <w:tc>
          <w:tcPr>
            <w:tcW w:type="dxa" w:w="2481"/>
            <w:vAlign w:val="center"/>
          </w:tcPr>
          <w:p w:rsidP="007C14DF" w:rsidR="009E549D" w:rsidRDefault="009E549D" w:rsidRPr="007F52FA">
            <w:pPr>
              <w:adjustRightInd w:val="0"/>
              <w:spacing w:before="29" w:line="288" w:lineRule="auto"/>
              <w:ind w:left="17"/>
              <w:jc w:val="center"/>
              <w:rPr>
                <w:color w:val="000000"/>
                <w:sz w:val="24"/>
              </w:rPr>
            </w:pPr>
            <w:r w:rsidRPr="007F52FA">
              <w:rPr>
                <w:color w:val="000000"/>
                <w:kern w:val="0"/>
                <w:sz w:val="24"/>
              </w:rPr>
              <w:t/>
            </w:r>
            <w:r w:rsidRPr="007F52FA">
              <w:rPr>
                <w:sz w:val="24"/>
              </w:rPr>
              <w:t/>
            </w:r>
            <w:r w:rsidR="004D614E" w:rsidRPr="007F52FA">
              <w:rPr>
                <w:sz w:val="24"/>
              </w:rPr>
              <w:t/>
            </w:r>
            <w:r w:rsidR="00FE7FBD" w:rsidRPr="007F52FA">
              <w:rPr>
                <w:sz w:val="24"/>
              </w:rPr>
              <w:t>交银新回报灵活配置混合C</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13,172,247.46</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AD3905" w:rsidRPr="007F52FA">
              <w:rPr>
                <w:color w:val="000000"/>
                <w:sz w:val="24"/>
              </w:rPr>
              <w:t/>
            </w:r>
            <w:r w:rsidR="0037768B" w:rsidRPr="007F52FA">
              <w:rPr>
                <w:color w:val="000000"/>
                <w:sz w:val="24"/>
              </w:rPr>
              <w:t/>
            </w:r>
            <w:r w:rsidRPr="007F52FA">
              <w:rPr>
                <w:color w:val="000000"/>
                <w:sz w:val="24"/>
              </w:rPr>
              <w:t/>
            </w:r>
            <w:r w:rsidR="004D614E" w:rsidRPr="007F52FA">
              <w:rPr>
                <w:color w:val="000000"/>
                <w:sz w:val="24"/>
              </w:rPr>
              <w:t/>
            </w:r>
            <w:r w:rsidR="00FE7FBD" w:rsidRPr="007F52FA">
              <w:rPr>
                <w:color w:val="000000"/>
                <w:sz w:val="24"/>
              </w:rPr>
              <w:t>1,770,309.06</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2.</w:t>
            </w:r>
            <w:r w:rsidRPr="007F52FA">
              <w:rPr>
                <w:kern w:val="0"/>
                <w:sz w:val="24"/>
              </w:rPr>
              <w:t>本期利润</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11,674,516.60</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1,543,437.44</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0.0307</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0.1072</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482,641,029.29</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50,610,007.24</w:t>
            </w:r>
          </w:p>
        </w:tc>
      </w:tr>
      <w:tr w:rsidR="005F293E" w:rsidRPr="007F52FA" w:rsidTr="007A5233">
        <w:trPr>
          <w:trHeight w:val="158"/>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1.221</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4.230</w:t>
            </w:r>
          </w:p>
        </w:tc>
      </w:tr>
    </w:tbl>
    <w:p>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 xml:space="preserve">注：1、上述基金A类业绩指标不包括持有人认购或交易基金的各项费用，计入费用后的实际收益水平要低于所列数字； </w:t>
      </w:r>
    </w:p>
    <w:p w:rsidP="007C14DF" w:rsidR="005E01A3" w:rsidRDefault="005E01A3"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w:r>
      <w:r w:rsidR="009A529F" w:rsidRPr="007F52FA">
        <w:rPr>
          <w:rFonts w:eastAsiaTheme="minorEastAsia"/>
          <w:color w:val="000000"/>
          <w:sz w:val="24"/>
        </w:rPr>
        <w:t/>
      </w:r>
      <w:r w:rsidR="00FE7FBD" w:rsidRPr="007F52FA">
        <w:rPr>
          <w:rFonts w:eastAsiaTheme="minorEastAsia"/>
          <w:color w:val="000000"/>
          <w:sz w:val="24"/>
        </w:rPr>
        <w:t/>
      </w:r>
      <w:r w:rsidRPr="007F52FA">
        <w:rPr>
          <w:rFonts w:eastAsiaTheme="minorEastAsia"/>
          <w:color w:val="000000"/>
          <w:sz w:val="24"/>
        </w:rPr>
        <w:t xml:space="preserve">    2、本期已实现收益指基金本期利息收入、投资收益、其他收入（不含公允价值变动收益）扣除相关费用后的余额，本期利润为本期已实现收益加上本期公允价值变动收益。</w:t>
      </w:r>
    </w:p>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P="007C14DF" w:rsidR="009238DB" w:rsidRDefault="009238DB" w:rsidRPr="007F52FA">
      <w:pPr>
        <w:autoSpaceDE w:val="0"/>
        <w:autoSpaceDN w:val="0"/>
        <w:adjustRightInd w:val="0"/>
        <w:spacing w:before="29" w:line="288" w:lineRule="auto"/>
        <w:jc w:val="left"/>
        <w:rPr>
          <w:b/>
          <w:color w:val="000000"/>
          <w:kern w:val="0"/>
          <w:sz w:val="24"/>
        </w:rPr>
      </w:pPr>
      <w:smartTag w:element="chsdate" w:uri="urn:schemas-microsoft-com:office:smarttags">
        <w:smartTagPr>
          <w:attr w:name="IsROCDate" w:val="False"/>
          <w:attr w:name="IsLunarDate" w:val="False"/>
          <w:attr w:name="Day" w:val="30"/>
          <w:attr w:name="Month" w:val="12"/>
          <w:attr w:name="Year" w:val="1899"/>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P="007C14DF" w:rsidR="009238DB" w:rsidRDefault="009238DB" w:rsidRPr="007F52FA">
      <w:pPr>
        <w:spacing w:before="29" w:line="288" w:lineRule="auto"/>
        <w:rPr>
          <w:b/>
          <w:sz w:val="24"/>
        </w:rPr>
      </w:pPr>
      <w:r w:rsidRPr="007F52FA">
        <w:rPr>
          <w:b/>
          <w:sz w:val="24"/>
        </w:rPr>
        <w:t>1</w:t>
      </w:r>
      <w:r w:rsidRPr="007F52FA">
        <w:rPr>
          <w:b/>
          <w:sz w:val="24"/>
        </w:rPr>
        <w:t>、</w:t>
      </w:r>
      <w:r w:rsidR="00A5643A" w:rsidRPr="007F52FA">
        <w:rPr>
          <w:b/>
          <w:color w:val="000000"/>
          <w:kern w:val="0"/>
          <w:sz w:val="24"/>
        </w:rPr>
        <w:t/>
      </w:r>
      <w:r w:rsidR="0042785F" w:rsidRPr="007F52FA">
        <w:rPr>
          <w:b/>
          <w:color w:val="000000"/>
          <w:kern w:val="0"/>
          <w:sz w:val="24"/>
        </w:rPr>
        <w:t/>
      </w:r>
      <w:r w:rsidR="00A5643A" w:rsidRPr="007F52FA">
        <w:rPr>
          <w:b/>
          <w:color w:val="000000"/>
          <w:kern w:val="0"/>
          <w:sz w:val="24"/>
        </w:rPr>
        <w:t>交银新回报灵活配置混合A</w:t>
      </w:r>
      <w:r w:rsidRPr="007F52FA">
        <w:rPr>
          <w:b/>
          <w:sz w:val="24"/>
        </w:rPr>
        <w:t>：</w:t>
      </w:r>
    </w:p>
    <w:tbl>
      <w:tblPr>
        <w:tblStyle w:val="af6"/>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685FFC" w:rsidRPr="007F52FA" w:rsidTr="00054F34">
        <w:trPr>
          <w:jc w:val="center"/>
        </w:trPr>
        <w:tc>
          <w:tcPr>
            <w:tcW w:type="dxa" w:w="1290"/>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阶段</w:t>
            </w:r>
            <w:r w:rsidR="000D4DE9" w:rsidRPr="007F52FA">
              <w:rPr>
                <w:color w:val="000000"/>
                <w:sz w:val="24"/>
              </w:rPr>
              <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tc>
          <w:tcPr>
            <w:vAlign w:val="center"/>
          </w:tcPr>
          <w:p>
            <w:pPr>
              <w:jc w:val="left"/>
            </w:pPr>
            <w:r>
              <w:rPr>
                <w:color w:val="000000"/>
                <w:sz w:val="24"/>
              </w:rPr>
              <w:t>过去三个月</w:t>
            </w:r>
          </w:p>
        </w:tc>
        <w:tc>
          <w:tcPr>
            <w:vAlign w:val="center"/>
          </w:tcPr>
          <w:p>
            <w:pPr>
              <w:jc w:val="center"/>
            </w:pPr>
            <w:r>
              <w:rPr>
                <w:color w:val="000000"/>
                <w:sz w:val="24"/>
              </w:rPr>
              <w:t>2.61%</w:t>
            </w:r>
          </w:p>
        </w:tc>
        <w:tc>
          <w:tcPr>
            <w:vAlign w:val="center"/>
          </w:tcPr>
          <w:p>
            <w:pPr>
              <w:jc w:val="center"/>
            </w:pPr>
            <w:r>
              <w:rPr>
                <w:color w:val="000000"/>
                <w:sz w:val="24"/>
              </w:rPr>
              <w:t>0.18%</w:t>
            </w:r>
          </w:p>
        </w:tc>
        <w:tc>
          <w:tcPr>
            <w:vAlign w:val="center"/>
          </w:tcPr>
          <w:p>
            <w:pPr>
              <w:jc w:val="center"/>
            </w:pPr>
            <w:r>
              <w:rPr>
                <w:color w:val="000000"/>
                <w:sz w:val="24"/>
              </w:rPr>
              <w:t>0.16%</w:t>
            </w:r>
          </w:p>
        </w:tc>
        <w:tc>
          <w:tcPr>
            <w:vAlign w:val="center"/>
          </w:tcPr>
          <w:p>
            <w:pPr>
              <w:jc w:val="center"/>
            </w:pPr>
            <w:r>
              <w:rPr>
                <w:color w:val="000000"/>
                <w:sz w:val="24"/>
              </w:rPr>
              <w:t>0.48%</w:t>
            </w:r>
          </w:p>
        </w:tc>
        <w:tc>
          <w:tcPr>
            <w:vAlign w:val="center"/>
          </w:tcPr>
          <w:p>
            <w:pPr>
              <w:jc w:val="center"/>
            </w:pPr>
            <w:r>
              <w:rPr>
                <w:color w:val="000000"/>
                <w:sz w:val="24"/>
              </w:rPr>
              <w:t>2.45%</w:t>
            </w:r>
          </w:p>
        </w:tc>
        <w:tc>
          <w:tcPr>
            <w:vAlign w:val="center"/>
          </w:tcPr>
          <w:p>
            <w:pPr>
              <w:jc w:val="center"/>
            </w:pPr>
            <w:r>
              <w:rPr>
                <w:color w:val="000000"/>
                <w:sz w:val="24"/>
              </w:rPr>
              <w:t>-0.30%</w:t>
            </w:r>
          </w:p>
        </w:tc>
      </w:tr>
    </w:tbl>
    <w:p w:rsidP="007C14DF" w:rsidR="004425E8" w:rsidRDefault="004425E8" w:rsidRPr="007F52FA">
      <w:pPr>
        <w:pStyle w:val="20"/>
        <w:spacing w:before="29" w:line="288" w:lineRule="auto"/>
        <w:ind w:firstLine="0" w:firstLineChars="0"/>
        <w:rPr>
          <w:rFonts w:ascii="Times New Roman" w:eastAsiaTheme="minorEastAsia" w:hAnsi="Times New Roman"/>
          <w:color w:val="000000"/>
        </w:rPr>
      </w:pPr>
    </w:p>
    <w:p w:rsidP="007C14DF" w:rsidR="009238DB" w:rsidRDefault="009238DB" w:rsidRPr="007F52FA">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A5643A" w:rsidRPr="007F52FA">
        <w:rPr>
          <w:b/>
          <w:color w:val="000000"/>
          <w:kern w:val="0"/>
          <w:sz w:val="24"/>
        </w:rPr>
        <w:t/>
      </w:r>
      <w:r w:rsidR="004D614E" w:rsidRPr="007F52FA">
        <w:rPr>
          <w:b/>
          <w:color w:val="000000"/>
          <w:kern w:val="0"/>
          <w:sz w:val="24"/>
        </w:rPr>
        <w:t/>
      </w:r>
      <w:r w:rsidR="00FE7FBD" w:rsidRPr="007F52FA">
        <w:rPr>
          <w:b/>
          <w:color w:val="000000"/>
          <w:kern w:val="0"/>
          <w:sz w:val="24"/>
        </w:rPr>
        <w:t>交银新回报灵活配置混合C</w:t>
      </w:r>
      <w:r w:rsidRPr="007F52FA">
        <w:rPr>
          <w:b/>
          <w:color w:val="000000"/>
          <w:kern w:val="0"/>
          <w:sz w:val="24"/>
        </w:rPr>
        <w:t>：</w:t>
      </w:r>
    </w:p>
    <w:tbl>
      <w:tblPr>
        <w:tblStyle w:val="af6"/>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685FFC" w:rsidRPr="007F52FA" w:rsidTr="00054F34">
        <w:trPr>
          <w:jc w:val="center"/>
        </w:trPr>
        <w:tc>
          <w:tcPr>
            <w:tcW w:type="dxa" w:w="1290"/>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阶段</w:t>
            </w:r>
            <w:r w:rsidR="000D4DE9" w:rsidRPr="007F52FA">
              <w:rPr>
                <w:color w:val="000000"/>
                <w:sz w:val="24"/>
              </w:rPr>
              <w:t/>
            </w:r>
          </w:p>
        </w:tc>
        <w:tc>
          <w:tcPr>
            <w:tcW w:type="dxa" w:w="1291"/>
            <w:vAlign w:val="center"/>
          </w:tcPr>
          <w:p w:rsidP="007C14DF" w:rsidR="00685FFC" w:rsidRDefault="00685FFC" w:rsidRPr="007F52FA">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type="dxa" w:w="1291"/>
            <w:vAlign w:val="center"/>
          </w:tcPr>
          <w:p w:rsidP="007C14DF" w:rsidR="00685FFC" w:rsidRDefault="00685FFC" w:rsidRPr="007F52FA">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tc>
          <w:tcPr>
            <w:vAlign w:val="center"/>
          </w:tcPr>
          <w:p>
            <w:pPr>
              <w:jc w:val="left"/>
            </w:pPr>
            <w:r>
              <w:rPr>
                <w:color w:val="000000"/>
                <w:sz w:val="24"/>
              </w:rPr>
              <w:t>过去三个月</w:t>
            </w:r>
          </w:p>
        </w:tc>
        <w:tc>
          <w:tcPr>
            <w:vAlign w:val="center"/>
          </w:tcPr>
          <w:p>
            <w:pPr>
              <w:jc w:val="center"/>
            </w:pPr>
            <w:r>
              <w:rPr>
                <w:color w:val="000000"/>
                <w:sz w:val="24"/>
              </w:rPr>
              <w:t>2.79%</w:t>
            </w:r>
          </w:p>
        </w:tc>
        <w:tc>
          <w:tcPr>
            <w:vAlign w:val="center"/>
          </w:tcPr>
          <w:p>
            <w:pPr>
              <w:jc w:val="center"/>
            </w:pPr>
            <w:r>
              <w:rPr>
                <w:color w:val="000000"/>
                <w:sz w:val="24"/>
              </w:rPr>
              <w:t>0.17%</w:t>
            </w:r>
          </w:p>
        </w:tc>
        <w:tc>
          <w:tcPr>
            <w:vAlign w:val="center"/>
          </w:tcPr>
          <w:p>
            <w:pPr>
              <w:jc w:val="center"/>
            </w:pPr>
            <w:r>
              <w:rPr>
                <w:color w:val="000000"/>
                <w:sz w:val="24"/>
              </w:rPr>
              <w:t>0.16%</w:t>
            </w:r>
          </w:p>
        </w:tc>
        <w:tc>
          <w:tcPr>
            <w:vAlign w:val="center"/>
          </w:tcPr>
          <w:p>
            <w:pPr>
              <w:jc w:val="center"/>
            </w:pPr>
            <w:r>
              <w:rPr>
                <w:color w:val="000000"/>
                <w:sz w:val="24"/>
              </w:rPr>
              <w:t>0.48%</w:t>
            </w:r>
          </w:p>
        </w:tc>
        <w:tc>
          <w:tcPr>
            <w:vAlign w:val="center"/>
          </w:tcPr>
          <w:p>
            <w:pPr>
              <w:jc w:val="center"/>
            </w:pPr>
            <w:r>
              <w:rPr>
                <w:color w:val="000000"/>
                <w:sz w:val="24"/>
              </w:rPr>
              <w:t>2.63%</w:t>
            </w:r>
          </w:p>
        </w:tc>
        <w:tc>
          <w:tcPr>
            <w:vAlign w:val="center"/>
          </w:tcPr>
          <w:p>
            <w:pPr>
              <w:jc w:val="center"/>
            </w:pPr>
            <w:r>
              <w:rPr>
                <w:color w:val="000000"/>
                <w:sz w:val="24"/>
              </w:rPr>
              <w:t>-0.31%</w:t>
            </w:r>
          </w:p>
        </w:tc>
      </w:tr>
    </w:tbl>
    <w:p w:rsidP="007C14DF" w:rsidR="009238DB" w:rsidRDefault="009238DB" w:rsidRPr="007F52FA">
      <w:pPr>
        <w:autoSpaceDE w:val="0"/>
        <w:autoSpaceDN w:val="0"/>
        <w:adjustRightInd w:val="0"/>
        <w:spacing w:before="29" w:line="288" w:lineRule="auto"/>
        <w:ind w:left="15"/>
        <w:jc w:val="left"/>
        <w:rPr>
          <w:rFonts w:eastAsiaTheme="minorEastAsia"/>
          <w:b/>
          <w:color w:val="000000"/>
          <w:kern w:val="0"/>
          <w:sz w:val="24"/>
        </w:rPr>
      </w:pPr>
    </w:p>
    <w:p w:rsidP="007C14DF" w:rsidR="009238DB" w:rsidRDefault="009238DB" w:rsidRPr="007F52FA">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P="007C14DF" w:rsidR="009A045B" w:rsidRDefault="009A045B" w:rsidRPr="007F52FA">
      <w:pPr>
        <w:spacing w:before="29" w:line="288" w:lineRule="auto"/>
        <w:jc w:val="center"/>
        <w:rPr>
          <w:color w:val="000000"/>
          <w:sz w:val="24"/>
        </w:rPr>
      </w:pPr>
      <w:r w:rsidRPr="007F52FA">
        <w:rPr>
          <w:rFonts w:eastAsiaTheme="minorEastAsia"/>
          <w:color w:val="000000"/>
          <w:sz w:val="24"/>
        </w:rPr>
        <w:t/>
      </w:r>
      <w:r w:rsidRPr="007F52FA">
        <w:rPr>
          <w:color w:val="000000"/>
          <w:sz w:val="24"/>
        </w:rPr>
        <w:t>交银施罗德新回报灵活配置混合型证券投资基金</w:t>
      </w:r>
    </w:p>
    <w:p w:rsidP="007C14DF" w:rsidR="00022396" w:rsidRDefault="0001164A" w:rsidRPr="007F52FA">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P="007C14DF" w:rsidR="009A045B" w:rsidRDefault="00CC1636" w:rsidRPr="007F52FA">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2015年5月15日</w:t>
      </w:r>
      <w:r w:rsidR="009A045B" w:rsidRPr="007F52FA">
        <w:rPr>
          <w:rFonts w:ascii="Times New Roman" w:hAnsi="Times New Roman"/>
          <w:sz w:val="24"/>
          <w:szCs w:val="24"/>
        </w:rPr>
        <w:t>至</w:t>
      </w:r>
      <w:r w:rsidRPr="007F52FA">
        <w:rPr>
          <w:rFonts w:ascii="Times New Roman" w:hAnsi="Times New Roman"/>
          <w:sz w:val="24"/>
          <w:szCs w:val="24"/>
        </w:rPr>
        <w:t>2019年9月30日</w:t>
      </w:r>
      <w:r w:rsidRPr="007F52FA">
        <w:rPr>
          <w:rFonts w:ascii="Times New Roman" w:hAnsi="Times New Roman"/>
          <w:sz w:val="24"/>
          <w:szCs w:val="24"/>
        </w:rPr>
        <w:t>）</w:t>
      </w:r>
    </w:p>
    <w:p w:rsidP="007C14DF" w:rsidR="009238DB" w:rsidRDefault="009238DB" w:rsidRPr="007F52FA">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交银新回报灵活配置混合A</w:t>
      </w:r>
    </w:p>
    <w:p w:rsidP="007C14DF" w:rsidR="00807B81" w:rsidRDefault="00562709" w:rsidRPr="007F52FA">
      <w:pPr>
        <w:pStyle w:val="20"/>
        <w:spacing w:before="29" w:line="288" w:lineRule="auto"/>
        <w:ind w:firstLine="0" w:firstLineChars="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B="0" distL="0" distR="0" distT="0">
            <wp:extent cx="5731510" cy="3356610"/>
            <wp:effectExtent b="0" l="19050" r="2540" t="0"/>
            <wp:docPr descr="走势图1.jpg"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31510" cy="3356610"/>
                    </a:xfrm>
                    <a:prstGeom prst="rect">
                      <a:avLst/>
                    </a:prstGeom>
                  </pic:spPr>
                </pic:pic>
              </a:graphicData>
            </a:graphic>
          </wp:inline>
        </w:drawing>
      </w:r>
    </w:p>
    <w:p w:rsidP="007C14DF" w:rsidR="009238DB" w:rsidRDefault="0042785F" w:rsidRPr="007F52FA">
      <w:pPr>
        <w:spacing w:before="29" w:line="288" w:lineRule="auto"/>
        <w:ind w:firstLine="480" w:firstLineChars="200"/>
        <w:rPr>
          <w:color w:val="000000"/>
          <w:sz w:val="24"/>
        </w:rPr>
      </w:pPr>
      <w:r w:rsidRPr="007F52FA">
        <w:rPr>
          <w:color w:val="000000"/>
          <w:sz w:val="24"/>
        </w:rPr>
        <w:t/>
      </w:r>
      <w:r w:rsidR="00973B57" w:rsidRPr="007F52FA">
        <w:rPr>
          <w:color w:val="000000"/>
          <w:sz w:val="24"/>
        </w:rPr>
        <w:t/>
      </w:r>
      <w:r w:rsidRPr="007F52FA">
        <w:rPr>
          <w:color w:val="000000"/>
          <w:sz w:val="24"/>
        </w:rPr>
        <w:t>注：图示日期为2015年5月15日至2019年9月30日。本基金建仓期为自基金合同生效日起的6个月。截至建仓期结束，本基金各项资产配置比例符合基金合同及招募说明书有关投资比例的约定。</w:t>
      </w:r>
    </w:p>
    <w:p w:rsidP="007C14DF" w:rsidR="0042785F" w:rsidRDefault="0042785F" w:rsidRPr="007F52FA">
      <w:pPr>
        <w:pStyle w:val="20"/>
        <w:spacing w:before="29" w:line="288" w:lineRule="auto"/>
        <w:ind w:firstLine="0" w:firstLineChars="0"/>
        <w:rPr>
          <w:rFonts w:ascii="Times New Roman" w:hAnsi="Times New Roman"/>
          <w:color w:val="000000"/>
        </w:rPr>
      </w:pPr>
    </w:p>
    <w:p w:rsidP="007C14DF" w:rsidR="009238DB" w:rsidRDefault="009238DB" w:rsidRPr="007F52FA">
      <w:pPr>
        <w:snapToGrid w:val="0"/>
        <w:spacing w:before="29" w:line="288" w:lineRule="auto"/>
        <w:rPr>
          <w:color w:val="000000"/>
          <w:sz w:val="24"/>
        </w:rPr>
      </w:pPr>
      <w:r w:rsidRPr="007F52FA">
        <w:rPr>
          <w:color w:val="000000"/>
          <w:sz w:val="24"/>
        </w:rPr>
        <w:t>2</w:t>
      </w:r>
      <w:r w:rsidRPr="007F52FA">
        <w:rPr>
          <w:color w:val="000000"/>
          <w:sz w:val="24"/>
        </w:rPr>
        <w:t>．</w:t>
      </w:r>
      <w:r w:rsidR="0042785F" w:rsidRPr="007F52FA">
        <w:rPr>
          <w:color w:val="000000"/>
          <w:sz w:val="24"/>
        </w:rPr>
        <w:t/>
      </w:r>
      <w:r w:rsidR="004D614E" w:rsidRPr="007F52FA">
        <w:rPr>
          <w:color w:val="000000"/>
          <w:sz w:val="24"/>
        </w:rPr>
        <w:t/>
      </w:r>
      <w:r w:rsidR="00FE7FBD" w:rsidRPr="007F52FA">
        <w:rPr>
          <w:color w:val="000000"/>
          <w:sz w:val="24"/>
        </w:rPr>
        <w:t>交银新回报灵活配置混合C</w:t>
      </w:r>
    </w:p>
    <w:p w:rsidP="007C14DF" w:rsidR="00D12D04" w:rsidRDefault="00562709" w:rsidRPr="007F52FA">
      <w:pPr>
        <w:pStyle w:val="20"/>
        <w:spacing w:before="29" w:line="288" w:lineRule="auto"/>
        <w:ind w:firstLine="0" w:firstLineChars="0"/>
        <w:jc w:val="center"/>
        <w:rPr>
          <w:rFonts w:ascii="Times New Roman" w:eastAsiaTheme="minorEastAsia" w:hAnsi="Times New Roman"/>
          <w:color w:val="000000"/>
        </w:rPr>
      </w:pPr>
      <w:r w:rsidRPr="007F52FA">
        <w:rPr>
          <w:rFonts w:ascii="Times New Roman" w:eastAsiaTheme="minorEastAsia" w:hAnsi="Times New Roman"/>
          <w:noProof/>
          <w:color w:val="000000"/>
        </w:rPr>
        <w:lastRenderedPageBreak/>
        <w:drawing>
          <wp:inline distB="0" distL="0" distR="0" distT="0">
            <wp:extent cx="5731510" cy="3356610"/>
            <wp:effectExtent b="0" l="19050" r="2540" t="0"/>
            <wp:docPr descr="走势图2.jpg"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cstate="print" r:embed="rId15"/>
                    <a:stretch>
                      <a:fillRect/>
                    </a:stretch>
                  </pic:blipFill>
                  <pic:spPr>
                    <a:xfrm>
                      <a:off x="0" y="0"/>
                      <a:ext cx="5731510" cy="3356610"/>
                    </a:xfrm>
                    <a:prstGeom prst="rect">
                      <a:avLst/>
                    </a:prstGeom>
                  </pic:spPr>
                </pic:pic>
              </a:graphicData>
            </a:graphic>
          </wp:inline>
        </w:drawing>
      </w:r>
    </w:p>
    <w:p w:rsidP="007C14DF" w:rsidR="0042785F" w:rsidRDefault="0042785F" w:rsidRPr="007F52FA">
      <w:pPr>
        <w:spacing w:before="29" w:line="288" w:lineRule="auto"/>
        <w:ind w:firstLine="480" w:firstLineChars="200"/>
        <w:rPr>
          <w:color w:val="000000"/>
          <w:sz w:val="24"/>
        </w:rPr>
      </w:pPr>
      <w:r w:rsidRPr="007F52FA">
        <w:rPr>
          <w:color w:val="000000"/>
          <w:sz w:val="24"/>
        </w:rPr>
        <w:t/>
      </w:r>
      <w:r w:rsidR="00973B57" w:rsidRPr="007F52FA">
        <w:rPr>
          <w:color w:val="000000"/>
          <w:sz w:val="24"/>
        </w:rPr>
        <w:t/>
      </w:r>
      <w:r w:rsidRPr="007F52FA">
        <w:rPr>
          <w:color w:val="000000"/>
          <w:sz w:val="24"/>
        </w:rPr>
        <w:t/>
      </w:r>
      <w:r w:rsidR="004D614E" w:rsidRPr="007F52FA">
        <w:rPr>
          <w:color w:val="000000"/>
          <w:sz w:val="24"/>
        </w:rPr>
        <w:t/>
      </w:r>
      <w:r w:rsidR="00FE7FBD" w:rsidRPr="007F52FA">
        <w:rPr>
          <w:color w:val="000000"/>
          <w:sz w:val="24"/>
        </w:rPr>
        <w:t>注：本基金自2015年11月19日起，开始销售C类份额，投资者提交的申购申请于2015年11月20日被确认并将有效份额登记在册。图示日期为2015年11月20日至2019年9月30日。</w:t>
      </w:r>
    </w:p>
    <w:p w:rsidP="007C14DF" w:rsidR="00757FD7" w:rsidRDefault="00757FD7" w:rsidRPr="007F52FA">
      <w:pPr>
        <w:spacing w:before="29" w:line="288" w:lineRule="auto"/>
        <w:ind w:firstLine="480" w:firstLineChars="200"/>
        <w:rPr>
          <w:color w:val="000000"/>
          <w:sz w:val="24"/>
        </w:rPr>
      </w:pPr>
      <w:r w:rsidRPr="007F52FA">
        <w:rPr>
          <w:color w:val="000000"/>
          <w:sz w:val="24"/>
        </w:rPr>
        <w:t/>
      </w:r>
      <w:r w:rsidR="00FE7FBD" w:rsidRPr="007F52FA">
        <w:rPr>
          <w:color w:val="000000"/>
          <w:sz w:val="24"/>
        </w:rPr>
        <w:t/>
      </w:r>
      <w:r w:rsidRPr="007F52FA">
        <w:rPr>
          <w:color w:val="000000"/>
          <w:sz w:val="24"/>
        </w:rPr>
        <w:t/>
      </w:r>
    </w:p>
    <w:p w:rsidP="007C14DF" w:rsidR="00973B57" w:rsidRDefault="00973B57" w:rsidRPr="007F52FA">
      <w:pPr>
        <w:pStyle w:val="20"/>
        <w:spacing w:before="29" w:line="288" w:lineRule="auto"/>
        <w:ind w:firstLine="0" w:firstLineChars="0"/>
        <w:jc w:val="left"/>
        <w:rPr>
          <w:rFonts w:ascii="Times New Roman" w:eastAsiaTheme="minorEastAsia" w:hAnsi="Times New Roman"/>
          <w:color w:val="000000"/>
        </w:rPr>
      </w:pPr>
    </w:p>
    <w:p w:rsidP="007C14DF" w:rsidR="006C5BC9" w:rsidRDefault="006C5BC9" w:rsidRPr="007F52FA">
      <w:pPr>
        <w:tabs>
          <w:tab w:pos="1800" w:val="left"/>
        </w:tabs>
        <w:spacing w:before="29" w:line="288" w:lineRule="auto"/>
        <w:rPr>
          <w:rFonts w:eastAsiaTheme="minorEastAsia"/>
          <w:color w:val="000000"/>
          <w:sz w:val="24"/>
        </w:rPr>
      </w:pPr>
    </w:p>
    <w:p w:rsidP="000A2988" w:rsidR="009238DB" w:rsidRDefault="009238DB" w:rsidRPr="007F52FA">
      <w:pPr>
        <w:pStyle w:val="1"/>
        <w:spacing w:after="312" w:afterLines="100" w:before="312" w:beforeLines="100"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57"/>
          <w:bottom w:type="dxa" w:w="57"/>
        </w:tblCellMar>
        <w:tblLook w:firstColumn="1" w:firstRow="1" w:lastColumn="0" w:lastRow="0" w:noHBand="0" w:noVBand="1" w:val="04A0"/>
      </w:tblPr>
      <w:tblGrid>
        <w:gridCol w:w="946"/>
        <w:gridCol w:w="924"/>
        <w:gridCol w:w="1202"/>
        <w:gridCol w:w="1300"/>
        <w:gridCol w:w="1245"/>
        <w:gridCol w:w="3251"/>
      </w:tblGrid>
      <w:tr w:rsidR="00C41617" w:rsidRPr="007F52FA" w:rsidTr="00370FE2">
        <w:trPr>
          <w:jc w:val="center"/>
        </w:trPr>
        <w:tc>
          <w:tcPr>
            <w:tcW w:type="dxa" w:w="952"/>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type="dxa" w:w="930"/>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type="dxa" w:w="2519"/>
            <w:gridSpan w:val="2"/>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w:t>
            </w:r>
            <w:r w:rsidRPr="007F52FA">
              <w:rPr>
                <w:color w:val="000000"/>
                <w:kern w:val="0"/>
                <w:sz w:val="24"/>
              </w:rPr>
              <w:lastRenderedPageBreak/>
              <w:t>期限</w:t>
            </w:r>
          </w:p>
        </w:tc>
        <w:tc>
          <w:tcPr>
            <w:tcW w:type="dxa" w:w="1254"/>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lastRenderedPageBreak/>
              <w:t>证券从业</w:t>
            </w:r>
            <w:r w:rsidRPr="007F52FA">
              <w:rPr>
                <w:color w:val="000000"/>
                <w:kern w:val="0"/>
                <w:sz w:val="24"/>
              </w:rPr>
              <w:lastRenderedPageBreak/>
              <w:t>年限</w:t>
            </w:r>
          </w:p>
        </w:tc>
        <w:tc>
          <w:tcPr>
            <w:tcW w:type="dxa" w:w="3276"/>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lastRenderedPageBreak/>
              <w:t>说明</w:t>
            </w:r>
          </w:p>
        </w:tc>
      </w:tr>
      <w:tr w:rsidR="00C41617" w:rsidRPr="007F52FA" w:rsidTr="00370FE2">
        <w:trPr>
          <w:jc w:val="center"/>
        </w:trPr>
        <w:tc>
          <w:tcPr>
            <w:tcW w:type="dxa" w:w="952"/>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c>
          <w:tcPr>
            <w:tcW w:type="dxa" w:w="930"/>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c>
          <w:tcPr>
            <w:tcW w:type="dxa" w:w="1210"/>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type="dxa" w:w="1309"/>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type="dxa" w:w="1254"/>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c>
          <w:tcPr>
            <w:tcW w:type="dxa" w:w="3276"/>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r>
      <w:tr>
        <w:tc>
          <w:tcPr>
            <w:vAlign w:val="center"/>
          </w:tcPr>
          <w:p>
            <w:pPr>
              <w:jc w:val="center"/>
            </w:pPr>
            <w:r>
              <w:rPr>
                <w:color w:val="000000"/>
                <w:sz w:val="24"/>
              </w:rPr>
              <w:t>李娜</w:t>
            </w:r>
          </w:p>
        </w:tc>
        <w:tc>
          <w:tcPr>
            <w:vAlign w:val="center"/>
          </w:tcPr>
          <w:p>
            <w:pPr>
              <w:jc w:val="center"/>
            </w:pPr>
            <w:r>
              <w:rPr>
                <w:color w:val="000000"/>
                <w:sz w:val="24"/>
              </w:rPr>
              <w:t>交银周期回报灵活配置混合、交银新回报灵活配置混合、交银多策略回报灵活配置混合、交银优选回报灵活配置混合、交银优择回报灵活配置混合、交银瑞鑫定期开放灵活配置混合、交银裕祥纯债债券、交银恒益灵活配置混合的基金经理</w:t>
            </w:r>
          </w:p>
        </w:tc>
        <w:tc>
          <w:tcPr>
            <w:vAlign w:val="center"/>
          </w:tcPr>
          <w:p>
            <w:pPr>
              <w:jc w:val="center"/>
            </w:pPr>
            <w:r>
              <w:rPr>
                <w:color w:val="000000"/>
                <w:sz w:val="24"/>
              </w:rPr>
              <w:t>2015-08-04</w:t>
            </w:r>
          </w:p>
        </w:tc>
        <w:tc>
          <w:tcPr>
            <w:vAlign w:val="center"/>
          </w:tcPr>
          <w:p>
            <w:pPr>
              <w:jc w:val="center"/>
            </w:pPr>
            <w:r>
              <w:rPr>
                <w:color w:val="000000"/>
                <w:sz w:val="24"/>
              </w:rPr>
              <w:t>-</w:t>
            </w:r>
          </w:p>
        </w:tc>
        <w:tc>
          <w:tcPr>
            <w:vAlign w:val="center"/>
          </w:tcPr>
          <w:p>
            <w:pPr>
              <w:jc w:val="center"/>
            </w:pPr>
            <w:r>
              <w:rPr>
                <w:color w:val="000000"/>
                <w:sz w:val="24"/>
              </w:rPr>
              <w:t>9年</w:t>
            </w:r>
          </w:p>
        </w:tc>
        <w:tc>
          <w:tcPr>
            <w:vAlign w:val="center"/>
          </w:tcPr>
          <w:p>
            <w:pPr>
              <w:jc w:val="both"/>
            </w:pPr>
            <w:r>
              <w:rPr>
                <w:color w:val="000000"/>
                <w:sz w:val="24"/>
              </w:rPr>
              <w:t>李娜女士，美国宾夕法尼亚大学应用数学与计算科学硕士。历任国泰基金管理有限公司研究员。2012年加入交银施罗德基金管理有限公司，历任债券分析师、基金经理助理。2017年3月2日至2018年4月10日担任交银施罗德瑞安定期开放灵活配置混合型证券投资基金基金经理。2017年2月24日至2018年7月18日担任交银施罗德瑞利定期开放灵活配置混合型证券投资基金的基金经理。2017年3月31日至2018年8月23日担任交银施罗德启通灵活配置混合型证券投资基金的基金经理。2016年12月21日至2018年11月16日担任交银施罗德瑞景定期开放灵活配置混合型证券投资基金的基金经理。2016年2月17日至2018年12月7日担任交银施罗德卓越回报灵活配置混合型证券投资基金的基金经理。2016年9月13日至2019年1月21日担任交银施罗德领先回报灵活配置混合型证券投资基金的基金经理。</w:t>
            </w:r>
          </w:p>
        </w:tc>
      </w:tr>
      <w:tr>
        <w:tc>
          <w:tcPr>
            <w:vAlign w:val="center"/>
          </w:tcPr>
          <w:p>
            <w:pPr>
              <w:jc w:val="center"/>
            </w:pPr>
            <w:r>
              <w:rPr>
                <w:color w:val="000000"/>
                <w:sz w:val="24"/>
              </w:rPr>
              <w:t>凌超</w:t>
            </w:r>
          </w:p>
        </w:tc>
        <w:tc>
          <w:tcPr>
            <w:vAlign w:val="center"/>
          </w:tcPr>
          <w:p>
            <w:pPr>
              <w:jc w:val="center"/>
            </w:pPr>
            <w:r>
              <w:rPr>
                <w:color w:val="000000"/>
                <w:sz w:val="24"/>
              </w:rPr>
              <w:t>交银定期支付月月丰债券、交银增强收益债券、交银强化回报债券、交银周期回报灵活配置混合、交银新回报灵活配置混合、交银多策略回报灵活配置混合、交银优选回报灵活配置混合、交银优择回报灵活配置混合、交银瑞鑫定期开放灵活配置混合、交银增利增强债券、交银恒益灵活配置混合、交银裕祥纯债债券、交银稳固收益债券的基金经理，公司固定收益(公募)投资副总监</w:t>
            </w:r>
          </w:p>
        </w:tc>
        <w:tc>
          <w:tcPr>
            <w:vAlign w:val="center"/>
          </w:tcPr>
          <w:p>
            <w:pPr>
              <w:jc w:val="center"/>
            </w:pPr>
            <w:r>
              <w:rPr>
                <w:color w:val="000000"/>
                <w:sz w:val="24"/>
              </w:rPr>
              <w:t>2019-07-20</w:t>
            </w:r>
          </w:p>
        </w:tc>
        <w:tc>
          <w:tcPr>
            <w:vAlign w:val="center"/>
          </w:tcPr>
          <w:p>
            <w:pPr>
              <w:jc w:val="center"/>
            </w:pPr>
            <w:r>
              <w:rPr>
                <w:color w:val="000000"/>
                <w:sz w:val="24"/>
              </w:rPr>
              <w:t>-</w:t>
            </w:r>
          </w:p>
        </w:tc>
        <w:tc>
          <w:tcPr>
            <w:vAlign w:val="center"/>
          </w:tcPr>
          <w:p>
            <w:pPr>
              <w:jc w:val="center"/>
            </w:pPr>
            <w:r>
              <w:rPr>
                <w:color w:val="000000"/>
                <w:sz w:val="24"/>
              </w:rPr>
              <w:t>13年</w:t>
            </w:r>
          </w:p>
        </w:tc>
        <w:tc>
          <w:tcPr>
            <w:vAlign w:val="center"/>
          </w:tcPr>
          <w:p>
            <w:pPr>
              <w:jc w:val="both"/>
            </w:pPr>
            <w:r>
              <w:rPr>
                <w:color w:val="000000"/>
                <w:sz w:val="24"/>
              </w:rPr>
              <w:t>凌超先生，华中科技大学数量经济学硕士、武汉科技大学信息与计算科学学士。2006年至2009年任长江证券股份有限公司研究员、投资经理，2009年至2012年任光大保德信基金有限管理公司研究员、基金助理、基金经理，2012年至2016年任海富通基金管理有限公司投资顾问、基金经理，2016年至2017年任天弘基金管理有限公司固定收益部副总经理、基金经理。2010年8月31日至2012年3月1日任光大保德信货币市场基金基金经理，2013年12月19日至2016年1月12日任海富通一年定期开放债券型证券投资基金基金经理，2014年4月2日至2016年1月12日任海富通纯债债券型证券投资基金基金经理，2014年12月1日至2016年1月12日任海富通稳固收益债券型证券投资基金基金经理，2016年5月14日至2017年7月13日任天弘弘利债券型证券投资基金基金经理，2016年5月14日至2017年7月13日任天弘裕利灵活配置混合型证券投资基金基金经理，2016年5月14日至2017年7月13日任天弘债券型发起式证券投资基金基金经理。2017年7月加入交银施罗德基金管理有限公司。2019年2月28日至2019年5月30日担任转型前的交银施罗德荣祥保本混合型证券投资基金的基金经理。</w:t>
            </w:r>
          </w:p>
        </w:tc>
      </w:tr>
    </w:tbl>
    <w:p w:rsidP="007C14DF" w:rsidR="009238DB" w:rsidRDefault="00062E1F" w:rsidRPr="007F52FA">
      <w:pPr>
        <w:autoSpaceDE w:val="0"/>
        <w:autoSpaceDN w:val="0"/>
        <w:adjustRightInd w:val="0"/>
        <w:spacing w:before="29" w:line="288" w:lineRule="auto"/>
        <w:jc w:val="left"/>
        <w:rPr>
          <w:color w:val="000000"/>
          <w:sz w:val="24"/>
        </w:rPr>
      </w:pPr>
      <w:r w:rsidRPr="007F52FA">
        <w:rPr>
          <w:color w:val="000000"/>
          <w:sz w:val="24"/>
        </w:rPr>
        <w:t>注：基金经理（或基金经理小组）期后变动（如有）敬请关注基金管理人发布的相关公告。</w:t>
      </w:r>
    </w:p>
    <w:p w:rsidP="007C14DF" w:rsidR="005C7D00" w:rsidRDefault="005C7D00" w:rsidRPr="007F52FA">
      <w:pPr>
        <w:pStyle w:val="20"/>
        <w:spacing w:before="29" w:line="288" w:lineRule="auto"/>
        <w:ind w:firstLine="0" w:firstLineChars="0"/>
        <w:rPr>
          <w:rFonts w:ascii="Times New Roman" w:eastAsiaTheme="minorEastAsia" w:hAnsi="Times New Roman"/>
          <w:color w:val="auto"/>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P="007C14DF" w:rsidR="009238DB" w:rsidRDefault="00323F25" w:rsidRPr="007F52FA">
      <w:pPr>
        <w:spacing w:before="29" w:line="288" w:lineRule="auto"/>
        <w:ind w:firstLine="480" w:firstLineChars="20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7C14DF" w:rsidR="009238DB" w:rsidRDefault="009238DB" w:rsidRPr="007F52FA">
      <w:pPr>
        <w:autoSpaceDE w:val="0"/>
        <w:autoSpaceDN w:val="0"/>
        <w:adjustRightInd w:val="0"/>
        <w:spacing w:before="29" w:line="288" w:lineRule="auto"/>
        <w:jc w:val="left"/>
        <w:rPr>
          <w:color w:val="000000"/>
          <w:kern w:val="0"/>
          <w:sz w:val="24"/>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P="007C14DF" w:rsidR="00D15733" w:rsidRDefault="00D15733" w:rsidRPr="007F52FA">
      <w:pPr>
        <w:spacing w:before="29" w:line="288" w:lineRule="auto"/>
        <w:rPr>
          <w:sz w:val="24"/>
        </w:rPr>
      </w:pPr>
      <w:smartTag w:element="chsdate" w:uri="urn:schemas-microsoft-com:office:smarttags">
        <w:smartTagPr>
          <w:attr w:name="Year" w:val="1899"/>
          <w:attr w:name="Month" w:val="12"/>
          <w:attr w:name="Day" w:val="30"/>
          <w:attr w:name="IsLunarDate" w:val="False"/>
          <w:attr w:name="IsROCDate" w:val="False"/>
        </w:smartTagPr>
        <w:r w:rsidRPr="007F52FA">
          <w:rPr>
            <w:sz w:val="24"/>
          </w:rPr>
          <w:t>4.3.1</w:t>
        </w:r>
      </w:smartTag>
      <w:r w:rsidRPr="007F52FA">
        <w:rPr>
          <w:sz w:val="24"/>
        </w:rPr>
        <w:t>公平交易制度的执行情况</w:t>
      </w:r>
    </w:p>
    <w:p>
      <w:pPr>
        <w:spacing w:before="29" w:line="288" w:lineRule="auto"/>
        <w:ind w:firstLine="480" w:firstLineChars="20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7C14DF" w:rsidR="00D15733" w:rsidRDefault="00323F25" w:rsidRPr="007F52FA">
      <w:pPr>
        <w:spacing w:before="29" w:line="288" w:lineRule="auto"/>
        <w:ind w:firstLine="480" w:firstLineChars="200"/>
        <w:rPr>
          <w:color w:val="000000"/>
          <w:sz w:val="24"/>
        </w:rPr>
      </w:pPr>
      <w:r w:rsidRPr="007F52FA">
        <w:rPr>
          <w:color w:val="000000"/>
          <w:sz w:val="24"/>
        </w:rPr>
        <w:t>报告期内本公司严格执行公平交易制度，公平对待旗下各投资组合，未发现任何违反公平交易的行为。</w:t>
      </w:r>
    </w:p>
    <w:p w:rsidP="007C14DF" w:rsidR="00D15733" w:rsidRDefault="00D15733" w:rsidRPr="007F52FA">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P="007C14DF" w:rsidR="00D15733" w:rsidRDefault="00323F25" w:rsidRPr="007F52FA">
      <w:pPr>
        <w:spacing w:before="29" w:line="288" w:lineRule="auto"/>
        <w:ind w:firstLine="480" w:firstLineChars="20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7C14DF" w:rsidR="009238DB" w:rsidRDefault="009238DB" w:rsidRPr="007F52FA">
      <w:pPr>
        <w:autoSpaceDE w:val="0"/>
        <w:autoSpaceDN w:val="0"/>
        <w:adjustRightInd w:val="0"/>
        <w:spacing w:before="29" w:line="288" w:lineRule="auto"/>
        <w:jc w:val="left"/>
        <w:rPr>
          <w:color w:val="000000"/>
          <w:kern w:val="0"/>
          <w:sz w:val="24"/>
        </w:rPr>
      </w:pPr>
    </w:p>
    <w:p w:rsidP="007C14DF" w:rsidR="00130395" w:rsidRDefault="00130395" w:rsidRPr="007F52FA">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pPr>
        <w:spacing w:before="29" w:line="288" w:lineRule="auto"/>
        <w:ind w:firstLine="480" w:firstLineChars="200"/>
        <w:rPr>
          <w:color w:val="000000"/>
          <w:sz w:val="24"/>
        </w:rPr>
      </w:pPr>
      <w:r>
        <w:rPr>
          <w:color w:val="000000"/>
          <w:sz w:val="24"/>
        </w:rPr>
        <w:t>本报告期内，债券市场收益率一度持续下行，后小幅回调。七至八月，债市收益率在宽松预期、国内外经济数据低预期以及海外风险的共振下震荡走低。七月初资金面比较宽松，但是由于市场对于通胀和经济回落的预期本来就较强，后资金面边际收紧，令债市全月呈现震荡格局。八月在国内经济数据低于预期，贸易争端以及人民币汇率破7等事件催化下，债券市场收益率呈现快速下行，十年国债一度破3%。九月后，随着稳增长预期升温、通胀担忧加剧以及资金面紧平衡等因素出现，债券市场小幅调整。截至九月底，活跃十年国债收益率自七月初一路走低，八月中旬破3%，后再度小幅上行。</w:t>
      </w:r>
    </w:p>
    <w:p>
      <w:pPr>
        <w:spacing w:before="29" w:line="288" w:lineRule="auto"/>
        <w:ind w:firstLine="480" w:firstLineChars="200"/>
        <w:rPr>
          <w:color w:val="000000"/>
          <w:sz w:val="24"/>
        </w:rPr>
      </w:pPr>
      <w:r>
        <w:rPr>
          <w:color w:val="000000"/>
          <w:sz w:val="24"/>
        </w:rPr>
        <w:t>权益市场三季度呈现明显分化，大盘指数三季度收跌，但创业板指数季度上涨逾7%。从行业看，TMT、医药及白酒板块明显上行，强周期板块则在报告期内收跌。</w:t>
      </w:r>
    </w:p>
    <w:p>
      <w:pPr>
        <w:spacing w:before="29" w:line="288" w:lineRule="auto"/>
        <w:ind w:firstLine="480" w:firstLineChars="200"/>
        <w:rPr>
          <w:color w:val="000000"/>
          <w:sz w:val="24"/>
        </w:rPr>
      </w:pPr>
      <w:r>
        <w:rPr>
          <w:color w:val="000000"/>
          <w:sz w:val="24"/>
        </w:rPr>
        <w:t>我们认为，三季度在经济下行压力下，债市存在配置机会，因此在季度初期的基金操作中，根据申赎及债市收益率变化积极增加底仓久期，底仓品种以中短久期高等级信用品种为主。八月中后期，由于中短久期信用债收益率较低，融资成本有所抬升，基金适当放缓配置节奏。权益方面，基金积极关注新股发行动态，进行权益一级市场投资，同时也关注二级市场的投资机会，在成长股估值偏高后减持部分高弹性品种，置换为高股息及低估值品种，以控制基金回撤。</w:t>
      </w:r>
    </w:p>
    <w:p w:rsidP="007C14DF" w:rsidR="00952A72" w:rsidRDefault="00323F25" w:rsidRPr="007F52FA">
      <w:pPr>
        <w:spacing w:before="29" w:line="288" w:lineRule="auto"/>
        <w:ind w:firstLine="480" w:firstLineChars="200"/>
        <w:rPr>
          <w:color w:val="000000"/>
          <w:sz w:val="24"/>
        </w:rPr>
      </w:pPr>
      <w:r w:rsidRPr="007F52FA">
        <w:rPr>
          <w:color w:val="000000"/>
          <w:sz w:val="24"/>
        </w:rPr>
        <w:t>展望2019年四季度，经济基本面下行压力仍然存在，经济内生企稳动力不强，而尽管宏观逆周期调控政策底线思维，但地产和基建发力始终受到种种限制。不过，我们担心通胀四季度上行压力会边际掣肘货币政策宽松。因此，我们认为四季度债券市场以震荡为主。基金方面，我们将视融资成本及市场收益率变动情况择机增配中短久期高等级信用品种，长端利率择机做波段操作，以提升基金静态收益。权益方面，我们将继续积极关注权益市场一级投资机会，同时关注低估细分行业配置机会，以及中长期成长个股，努力为投资人取得稳定业绩回报。</w:t>
      </w:r>
    </w:p>
    <w:p w:rsidP="007C14DF" w:rsidR="00EC41BC" w:rsidRDefault="00EC41BC" w:rsidRPr="007F52FA">
      <w:pPr>
        <w:spacing w:before="29" w:line="288" w:lineRule="auto"/>
        <w:ind w:firstLine="480" w:firstLineChars="200"/>
        <w:rPr>
          <w:color w:val="000000"/>
          <w:sz w:val="24"/>
        </w:rPr>
      </w:pPr>
    </w:p>
    <w:p w:rsidP="007C14DF" w:rsidR="00130395" w:rsidRDefault="00130395" w:rsidRPr="007F52FA">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P="007C14DF" w:rsidR="00952A72" w:rsidRDefault="00323F25" w:rsidRPr="007F52FA">
      <w:pPr>
        <w:spacing w:before="29" w:line="288" w:lineRule="auto"/>
        <w:ind w:firstLine="480" w:firstLineChars="200"/>
        <w:rPr>
          <w:color w:val="000000"/>
          <w:sz w:val="24"/>
        </w:rPr>
      </w:pPr>
      <w:r w:rsidRPr="007F52FA">
        <w:rPr>
          <w:color w:val="000000"/>
          <w:sz w:val="24"/>
        </w:rPr>
        <w:t>本基金（各类）份额净值及业绩表现请见“3.1主要财务指标” 及“3.2.1 本报告期基金份额净值增长率及其与同期业绩比较基准收益率的比较”部分披露。</w:t>
      </w:r>
    </w:p>
    <w:p w:rsidP="007C14DF" w:rsidR="00400FA6" w:rsidRDefault="00400FA6" w:rsidRPr="007F52FA">
      <w:pPr>
        <w:spacing w:before="29" w:line="288" w:lineRule="auto"/>
        <w:ind w:firstLine="480" w:firstLineChars="200"/>
        <w:rPr>
          <w:color w:val="000000"/>
          <w:sz w:val="24"/>
        </w:rPr>
      </w:pPr>
    </w:p>
    <w:p w:rsidP="00274444" w:rsidR="00274444" w:rsidRDefault="00274444"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274444" w:rsidR="00274444" w:rsidRDefault="00274444">
      <w:pPr>
        <w:spacing w:before="29" w:line="288" w:lineRule="auto"/>
        <w:ind w:firstLine="480" w:firstLineChars="200"/>
        <w:rPr>
          <w:color w:val="000000"/>
          <w:sz w:val="24"/>
        </w:rPr>
      </w:pPr>
      <w:r w:rsidRPr="002070B4">
        <w:rPr>
          <w:color w:val="000000"/>
          <w:sz w:val="24"/>
        </w:rPr>
        <w:t>本基金本报告期内无需预警说明。</w:t>
      </w:r>
    </w:p>
    <w:p w:rsidP="007C14DF" w:rsidR="00400FA6" w:rsidRDefault="00400FA6" w:rsidRPr="007F52FA">
      <w:pPr>
        <w:spacing w:before="29" w:line="288" w:lineRule="auto"/>
        <w:ind w:firstLine="480" w:firstLineChars="200"/>
        <w:rPr>
          <w:color w:val="000000"/>
          <w:sz w:val="24"/>
        </w:rPr>
      </w:pPr>
    </w:p>
    <w:p w:rsidP="000A2988" w:rsidR="009238DB" w:rsidRDefault="009238DB" w:rsidRPr="007C6127">
      <w:pPr>
        <w:pStyle w:val="1"/>
        <w:spacing w:after="312" w:afterLines="100" w:before="312" w:beforeLines="100" w:line="288" w:lineRule="auto"/>
        <w:jc w:val="center"/>
        <w:rPr>
          <w:rFonts w:eastAsiaTheme="minorEastAsia"/>
          <w:color w:val="000000"/>
          <w:kern w:val="0"/>
          <w:sz w:val="24"/>
          <w:szCs w:val="24"/>
        </w:rPr>
      </w:pPr>
      <w:r w:rsidRPr="007C6127">
        <w:rPr>
          <w:rFonts w:eastAsiaTheme="minorEastAsia"/>
          <w:color w:val="000000"/>
          <w:kern w:val="0"/>
          <w:sz w:val="24"/>
          <w:szCs w:val="24"/>
        </w:rPr>
        <w:lastRenderedPageBreak/>
        <w:t xml:space="preserve">§5  </w:t>
      </w:r>
      <w:r w:rsidRPr="007C6127">
        <w:rPr>
          <w:rFonts w:eastAsiaTheme="minorEastAsia"/>
          <w:color w:val="000000"/>
          <w:kern w:val="0"/>
          <w:sz w:val="24"/>
          <w:szCs w:val="24"/>
        </w:rPr>
        <w:t>投资组合报告</w:t>
      </w:r>
    </w:p>
    <w:p w:rsidP="00C51B4E" w:rsidR="00C51B4E" w:rsidRDefault="00C51B4E">
      <w:pPr>
        <w:autoSpaceDE w:val="0"/>
        <w:autoSpaceDN w:val="0"/>
        <w:adjustRightInd w:val="0"/>
        <w:spacing w:line="360" w:lineRule="auto"/>
        <w:jc w:val="left"/>
        <w:rPr>
          <w:rFonts w:eastAsiaTheme="minorEastAsia"/>
          <w:b/>
          <w:color w:themeColor="text1" w:val="000000"/>
          <w:kern w:val="0"/>
          <w:sz w:val="24"/>
        </w:rPr>
      </w:pPr>
      <w:r w:rsidRPr="0028293E">
        <w:rPr>
          <w:rFonts w:eastAsiaTheme="minorEastAsia"/>
          <w:b/>
          <w:color w:themeColor="text1" w:val="000000"/>
          <w:kern w:val="0"/>
          <w:sz w:val="24"/>
        </w:rPr>
        <w:t xml:space="preserve">5.1 </w:t>
      </w:r>
      <w:r w:rsidRPr="0028293E">
        <w:rPr>
          <w:rFonts w:eastAsiaTheme="minorEastAsia"/>
          <w:b/>
          <w:color w:themeColor="text1" w:val="000000"/>
          <w:kern w:val="0"/>
          <w:sz w:val="24"/>
        </w:rPr>
        <w:t>报告期末基金资产组合情况</w:t>
      </w:r>
    </w:p>
    <w:p w:rsidP="001A5E45" w:rsidR="00610880" w:rsidRDefault="001A5E45" w:rsidRPr="0028293E">
      <w:pPr>
        <w:autoSpaceDE w:val="0"/>
        <w:autoSpaceDN w:val="0"/>
        <w:adjustRightInd w:val="0"/>
        <w:spacing w:line="360" w:lineRule="auto"/>
        <w:jc w:val="right"/>
        <w:rPr>
          <w:rFonts w:eastAsiaTheme="minorEastAsia"/>
          <w:b/>
          <w:color w:themeColor="text1" w:val="000000"/>
          <w:kern w:val="0"/>
          <w:sz w:val="24"/>
        </w:rPr>
      </w:pPr>
      <w:r w:rsidRPr="001A5E45">
        <w:rPr>
          <w:rFonts w:hint="eastAsia"/>
          <w:color w:val="000000"/>
          <w:kern w:val="0"/>
        </w:rPr>
        <w:t/>
      </w:r>
      <w:r w:rsidRPr="001A5E45">
        <w:rPr>
          <w:rFonts w:hint="eastAsia"/>
          <w:color w:val="000000"/>
          <w:kern w:val="0"/>
        </w:rPr>
        <w:t>金额单位：人民币元</w:t>
      </w:r>
    </w:p>
    <w:tbl>
      <w:tblPr>
        <w:tblStyle w:val="af6"/>
        <w:tblW w:type="dxa" w:w="8897"/>
        <w:tblInd w:type="dxa" w:w="108"/>
        <w:tblLayout w:type="fixed"/>
        <w:tblLook w:firstColumn="1" w:firstRow="1" w:lastColumn="0" w:lastRow="0" w:noHBand="0" w:noVBand="1" w:val="04A0"/>
      </w:tblPr>
      <w:tblGrid>
        <w:gridCol w:w="720"/>
        <w:gridCol w:w="2824"/>
        <w:gridCol w:w="2552"/>
        <w:gridCol w:w="2801"/>
      </w:tblGrid>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序号</w:t>
            </w:r>
          </w:p>
        </w:tc>
        <w:tc>
          <w:tcPr>
            <w:tcW w:type="dxa" w:w="2824"/>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项目</w:t>
            </w:r>
          </w:p>
        </w:tc>
        <w:tc>
          <w:tcPr>
            <w:tcW w:type="dxa" w:w="2552"/>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金额</w:t>
            </w:r>
          </w:p>
        </w:tc>
        <w:tc>
          <w:tcPr>
            <w:tcW w:type="dxa" w:w="2801"/>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占基金总资产的比例</w:t>
            </w:r>
            <w:r w:rsidR="005D2D89">
              <w:rPr>
                <w:rFonts w:eastAsiaTheme="minorEastAsia" w:hint="eastAsia"/>
                <w:color w:themeColor="text1" w:val="000000"/>
                <w:sz w:val="24"/>
              </w:rPr>
              <w:t>（</w:t>
            </w:r>
            <w:r w:rsidR="005D2D89">
              <w:rPr>
                <w:rFonts w:eastAsiaTheme="minorEastAsia" w:hint="eastAsia"/>
                <w:color w:themeColor="text1" w:val="000000"/>
                <w:sz w:val="24"/>
              </w:rPr>
              <w:t>%</w:t>
            </w:r>
            <w:r w:rsidR="005D2D89">
              <w:rPr>
                <w:rFonts w:eastAsiaTheme="minorEastAsia" w:hint="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1</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权益投资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80,500,358.97</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12.66</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其中：股票</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80,500,358.97</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12.66</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2</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ascii="宋体" w:hAnsi="宋体" w:hint="eastAsia"/>
                <w:sz w:val="24"/>
              </w:rPr>
              <w:t>基金投资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hint="eastAsia"/>
                <w:color w:themeColor="text1" w:val="000000"/>
                <w:sz w:val="24"/>
              </w:rPr>
              <w:t/>
            </w:r>
            <w:r w:rsidRPr="0028293E">
              <w:rPr>
                <w:rFonts w:eastAsiaTheme="minorEastAsia"/>
                <w:color w:themeColor="text1" w:val="000000"/>
                <w:sz w:val="24"/>
              </w:rPr>
              <w:t/>
            </w:r>
            <w:r w:rsidRPr="0028293E">
              <w:rPr>
                <w:rFonts w:eastAsiaTheme="minorEastAsia" w:hint="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hint="eastAsia"/>
                <w:color w:themeColor="text1" w:val="000000"/>
                <w:sz w:val="24"/>
              </w:rPr>
              <w:t/>
            </w:r>
            <w:r w:rsidRPr="0028293E">
              <w:rPr>
                <w:rFonts w:eastAsiaTheme="minorEastAsia"/>
                <w:color w:themeColor="text1" w:val="000000"/>
                <w:sz w:val="24"/>
              </w:rPr>
              <w:t/>
            </w:r>
            <w:r w:rsidRPr="0028293E">
              <w:rPr>
                <w:rFonts w:eastAsiaTheme="minorEastAsia" w:hint="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3</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固定收益投资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411,351,000.00</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64.68</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其中：债券</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411,351,000.00</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64.68</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8293E" w:rsidR="00C51B4E" w:rsidRDefault="00C51B4E" w:rsidRPr="0028293E">
            <w:pPr>
              <w:autoSpaceDE w:val="0"/>
              <w:autoSpaceDN w:val="0"/>
              <w:adjustRightInd w:val="0"/>
              <w:spacing w:before="29" w:line="360" w:lineRule="auto"/>
              <w:ind w:firstLine="720" w:firstLineChars="300" w:left="17"/>
              <w:jc w:val="left"/>
              <w:rPr>
                <w:rFonts w:eastAsiaTheme="minorEastAsia"/>
                <w:color w:themeColor="text1" w:val="000000"/>
                <w:sz w:val="24"/>
              </w:rPr>
            </w:pPr>
            <w:r w:rsidRPr="0028293E">
              <w:rPr>
                <w:rFonts w:eastAsiaTheme="minorEastAsia"/>
                <w:color w:themeColor="text1" w:val="000000"/>
                <w:sz w:val="24"/>
              </w:rPr>
              <w:t>资产支持证券</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4</w:t>
            </w:r>
          </w:p>
        </w:tc>
        <w:tc>
          <w:tcPr>
            <w:tcW w:type="dxa" w:w="2824"/>
            <w:vAlign w:val="center"/>
          </w:tcPr>
          <w:p w:rsidP="002D2971" w:rsidR="00C51B4E" w:rsidRDefault="00C51B4E" w:rsidRPr="0028293E">
            <w:pPr>
              <w:spacing w:before="29" w:line="360" w:lineRule="auto"/>
              <w:ind w:left="105" w:leftChars="50"/>
              <w:rPr>
                <w:rFonts w:eastAsiaTheme="minorEastAsia"/>
                <w:color w:themeColor="text1" w:val="000000"/>
                <w:sz w:val="24"/>
              </w:rPr>
            </w:pPr>
            <w:r w:rsidRPr="0028293E">
              <w:rPr>
                <w:rFonts w:eastAsiaTheme="minorEastAsia"/>
                <w:color w:themeColor="text1" w:val="000000"/>
                <w:sz w:val="24"/>
              </w:rPr>
              <w:t>贵金属投资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
            </w:r>
            <w:r w:rsidRPr="0028293E">
              <w:rPr>
                <w:rFonts w:eastAsiaTheme="minorEastAsia"/>
                <w:color w:themeColor="text1" w:val="000000"/>
                <w:sz w:val="24"/>
              </w:rPr>
              <w:lastRenderedPageBreak/>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lastRenderedPageBreak/>
              <w:t/>
            </w:r>
            <w:r w:rsidRPr="0028293E">
              <w:rPr>
                <w:rFonts w:eastAsiaTheme="minorEastAsia"/>
                <w:color w:themeColor="text1" w:val="000000"/>
                <w:sz w:val="24"/>
              </w:rPr>
              <w:lastRenderedPageBreak/>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lastRenderedPageBreak/>
              <w:t>5</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金融衍生品投资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6</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买入返售金融资产</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128,770,302.66</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20.25</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其中：买断式回购的买入返售金融资产</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7</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银行存款和结算备付金合计</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6,889,768.07</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1.08</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
            </w:r>
            <w:r w:rsidRPr="0028293E">
              <w:rPr>
                <w:rFonts w:eastAsiaTheme="minorEastAsia" w:hint="eastAsia"/>
                <w:color w:themeColor="text1" w:val="000000"/>
                <w:sz w:val="24"/>
              </w:rPr>
              <w:t/>
            </w:r>
            <w:r w:rsidRPr="0028293E">
              <w:rPr>
                <w:rFonts w:eastAsiaTheme="minorEastAsia"/>
                <w:color w:themeColor="text1" w:val="000000"/>
                <w:sz w:val="24"/>
              </w:rPr>
              <w:t>8</w:t>
            </w:r>
          </w:p>
        </w:tc>
        <w:tc>
          <w:tcPr>
            <w:tcW w:type="dxa" w:w="2824"/>
            <w:vAlign w:val="center"/>
          </w:tcPr>
          <w:p w:rsidP="002D2971" w:rsidR="00C51B4E" w:rsidRDefault="00C51B4E" w:rsidRPr="0028293E">
            <w:pPr>
              <w:spacing w:line="360" w:lineRule="auto"/>
              <w:rPr>
                <w:rFonts w:eastAsiaTheme="minorEastAsia"/>
                <w:color w:themeColor="text1" w:val="000000"/>
                <w:sz w:val="24"/>
              </w:rPr>
            </w:pPr>
            <w:r w:rsidRPr="0028293E">
              <w:rPr>
                <w:rFonts w:eastAsiaTheme="minorEastAsia"/>
                <w:color w:themeColor="text1" w:val="000000"/>
                <w:sz w:val="24"/>
              </w:rPr>
              <w:t>其他各项资产</w:t>
            </w:r>
          </w:p>
        </w:tc>
        <w:tc>
          <w:tcPr>
            <w:tcW w:type="dxa" w:w="2552"/>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8,492,267.07</w:t>
            </w:r>
          </w:p>
        </w:tc>
        <w:tc>
          <w:tcPr>
            <w:tcW w:type="dxa" w:w="2801"/>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1.34</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
            </w:r>
            <w:r w:rsidRPr="0028293E">
              <w:rPr>
                <w:rFonts w:eastAsiaTheme="minorEastAsia" w:hint="eastAsia"/>
                <w:color w:themeColor="text1" w:val="000000"/>
                <w:sz w:val="24"/>
              </w:rPr>
              <w:t/>
            </w:r>
            <w:r w:rsidRPr="0028293E">
              <w:rPr>
                <w:rFonts w:eastAsiaTheme="minorEastAsia"/>
                <w:color w:themeColor="text1" w:val="000000"/>
                <w:sz w:val="24"/>
              </w:rPr>
              <w:t>9</w:t>
            </w:r>
          </w:p>
        </w:tc>
        <w:tc>
          <w:tcPr>
            <w:tcW w:type="dxa" w:w="2824"/>
            <w:vAlign w:val="center"/>
          </w:tcPr>
          <w:p w:rsidP="002D2971" w:rsidR="00C51B4E" w:rsidRDefault="00C51B4E" w:rsidRPr="0028293E">
            <w:pPr>
              <w:spacing w:line="360" w:lineRule="auto"/>
              <w:rPr>
                <w:rFonts w:eastAsiaTheme="minorEastAsia"/>
                <w:color w:themeColor="text1" w:val="000000"/>
                <w:sz w:val="24"/>
              </w:rPr>
            </w:pPr>
            <w:r w:rsidRPr="0028293E">
              <w:rPr>
                <w:rFonts w:eastAsiaTheme="minorEastAsia"/>
                <w:color w:themeColor="text1" w:val="000000"/>
                <w:sz w:val="24"/>
              </w:rPr>
              <w:t>合计</w:t>
            </w:r>
          </w:p>
        </w:tc>
        <w:tc>
          <w:tcPr>
            <w:tcW w:type="dxa" w:w="2552"/>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636,003,696.77</w:t>
            </w:r>
          </w:p>
        </w:tc>
        <w:tc>
          <w:tcPr>
            <w:tcW w:type="dxa" w:w="2801"/>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100.00</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P="001A5D39" w:rsidR="001A5D39" w:rsidRDefault="001A5D39">
      <w:pPr>
        <w:rPr>
          <w:rFonts w:eastAsiaTheme="minorEastAsia"/>
          <w:b/>
          <w:color w:themeColor="text1" w:val="000000"/>
          <w:kern w:val="0"/>
          <w:sz w:val="24"/>
        </w:rPr>
      </w:pPr>
      <w:r w:rsidRPr="004A3846">
        <w:rPr>
          <w:b/>
          <w:color w:themeColor="text1" w:val="000000"/>
          <w:sz w:val="24"/>
        </w:rPr>
        <w:t/>
      </w:r>
      <w:r w:rsidRPr="004A3846">
        <w:rPr>
          <w:rFonts w:eastAsiaTheme="minorEastAsia" w:hint="eastAsia"/>
          <w:b/>
          <w:color w:themeColor="text1" w:val="000000"/>
          <w:kern w:val="0"/>
          <w:sz w:val="24"/>
        </w:rPr>
        <w:t>5.2.1</w:t>
      </w:r>
      <w:r w:rsidRPr="004A3846">
        <w:rPr>
          <w:rFonts w:eastAsiaTheme="minorEastAsia" w:hint="eastAsia"/>
          <w:b/>
          <w:color w:themeColor="text1" w:val="000000"/>
          <w:kern w:val="0"/>
          <w:sz w:val="24"/>
        </w:rPr>
        <w:t>报告期末按行业分类的境内股票投资组合</w:t>
      </w:r>
    </w:p>
    <w:p w:rsidP="001A5E45" w:rsidR="005F69E7" w:rsidRDefault="001A5E45" w:rsidRPr="005F69E7">
      <w:pPr>
        <w:jc w:val="right"/>
        <w:rPr>
          <w:sz w:val="24"/>
        </w:rPr>
      </w:pPr>
      <w:r w:rsidRPr="001A5E45">
        <w:rPr>
          <w:rFonts w:hint="eastAsia"/>
          <w:sz w:val="24"/>
        </w:rPr>
        <w:t/>
      </w:r>
      <w:r w:rsidRPr="001A5E45">
        <w:rPr>
          <w:rFonts w:hint="eastAsia"/>
          <w:sz w:val="24"/>
        </w:rPr>
        <w:t>金额单位：人民币元</w:t>
      </w:r>
    </w:p>
    <w:tbl>
      <w:tblPr>
        <w:tblW w:type="dxa" w:w="8868"/>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113"/>
          <w:right w:type="dxa" w:w="113"/>
        </w:tblCellMar>
        <w:tblLook w:firstColumn="0" w:firstRow="0" w:lastColumn="0" w:lastRow="0" w:noHBand="0" w:noVBand="0" w:val="0000"/>
      </w:tblPr>
      <w:tblGrid>
        <w:gridCol w:w="772"/>
        <w:gridCol w:w="3525"/>
        <w:gridCol w:w="2897"/>
        <w:gridCol w:w="1674"/>
      </w:tblGrid>
      <w:tr w:rsidR="005F458B" w:rsidRPr="007F52FA" w:rsidTr="004D7E11">
        <w:trPr>
          <w:trHeight w:val="390"/>
          <w:jc w:val="center"/>
        </w:trPr>
        <w:tc>
          <w:tcPr>
            <w:tcW w:type="dxa" w:w="772"/>
            <w:tcBorders>
              <w:top w:color="000000" w:space="0" w:sz="4" w:val="single"/>
              <w:left w:color="000000" w:space="0" w:sz="4" w:val="single"/>
              <w:bottom w:color="000000" w:space="0" w:sz="4" w:val="single"/>
              <w:right w:color="000000" w:space="0" w:sz="4" w:val="single"/>
            </w:tcBorders>
            <w:vAlign w:val="center"/>
          </w:tcPr>
          <w:p w:rsidP="007C14DF" w:rsidR="005F458B" w:rsidRDefault="005F458B" w:rsidRPr="007F52FA">
            <w:pPr>
              <w:adjustRightInd w:val="0"/>
              <w:snapToGrid w:val="0"/>
              <w:spacing w:before="29" w:line="288" w:lineRule="auto"/>
              <w:jc w:val="center"/>
              <w:rPr>
                <w:sz w:val="24"/>
              </w:rPr>
            </w:pPr>
            <w:r w:rsidRPr="007F52FA">
              <w:rPr>
                <w:sz w:val="24"/>
              </w:rPr>
              <w:t>代码</w:t>
            </w:r>
            <w:r w:rsidR="00FA0527" w:rsidRPr="007F52FA">
              <w:rPr>
                <w:sz w:val="24"/>
              </w:rPr>
              <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行业类别</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1A5E45" w:rsidRPr="007F52FA">
            <w:pPr>
              <w:adjustRightInd w:val="0"/>
              <w:snapToGrid w:val="0"/>
              <w:spacing w:before="29" w:line="288" w:lineRule="auto"/>
              <w:jc w:val="center"/>
              <w:rPr>
                <w:sz w:val="24"/>
              </w:rPr>
            </w:pPr>
            <w:r>
              <w:rPr>
                <w:sz w:val="24"/>
              </w:rPr>
              <w:t>公允价值</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占基金资产净值比例（％）</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A</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农、林、牧、渔业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autoSpaceDE w:val="0"/>
              <w:autoSpaceDN w:val="0"/>
              <w:adjustRightInd w:val="0"/>
              <w:spacing w:before="29" w:line="288" w:lineRule="auto"/>
              <w:ind w:left="15"/>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utoSpaceDE w:val="0"/>
              <w:autoSpaceDN w:val="0"/>
              <w:adjustRightInd w:val="0"/>
              <w:spacing w:before="29" w:line="288" w:lineRule="auto"/>
              <w:ind w:left="15"/>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B</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采矿业</w:t>
            </w:r>
          </w:p>
        </w:tc>
        <w:tc>
          <w:tcPr>
            <w:tcW w:type="dxa" w:w="2897"/>
            <w:tcBorders>
              <w:top w:color="000000" w:space="0" w:sz="4" w:val="single"/>
              <w:left w:color="auto" w:space="0" w:sz="4" w:val="single"/>
              <w:bottom w:color="000000" w:space="0" w:sz="4" w:val="single"/>
              <w:right w:color="000000" w:space="0" w:sz="4" w:val="single"/>
            </w:tcBorders>
            <w:vAlign w:val="center"/>
          </w:tcPr>
          <w:p w:rsidP="00DF744A"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DF744A"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C</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制造业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30,504,499.35</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5.72</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D</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电力、热力、燃气及水生产和供应业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E</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建筑业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F</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批发和零售业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2,519,426.00</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
            </w:r>
            <w:r w:rsidRPr="007F52FA">
              <w:rPr>
                <w:sz w:val="24"/>
              </w:rPr>
              <w:lastRenderedPageBreak/>
              <w:t>0.47</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lastRenderedPageBreak/>
              <w:t>G</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交通运输、仓储和邮政业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5,735,301.22</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1.08</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H</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住宿和餐饮业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2,531,932.00</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0.47</w:t>
            </w:r>
          </w:p>
        </w:tc>
      </w:tr>
      <w:tr w:rsidR="005F458B" w:rsidRPr="007F52FA" w:rsidTr="00240CA0">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I</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240CA0" w:rsidR="005F458B" w:rsidRDefault="005F458B" w:rsidRPr="007F52FA">
            <w:pPr>
              <w:adjustRightInd w:val="0"/>
              <w:snapToGrid w:val="0"/>
              <w:spacing w:before="29" w:line="288" w:lineRule="auto"/>
              <w:rPr>
                <w:sz w:val="24"/>
              </w:rPr>
            </w:pPr>
            <w:r w:rsidRPr="007F52FA">
              <w:rPr>
                <w:sz w:val="24"/>
              </w:rPr>
              <w:t>信息传输、软件和信息技术服务业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2,026,129.40</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0.38</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J</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金融业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29,037,271.00</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5.45</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K</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房地产业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6,762,470.00</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1.27</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L</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租赁和商务服务业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M</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科学研究和技术服务业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lastRenderedPageBreak/>
              <w:t>N</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水利、环境和公共设施管理业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O</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居民服务、修理和其他服务业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P</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教育</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Q</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卫生和社会工作</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1,383,330.00</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0.26</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R</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文化、体育和娱乐业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S</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综合</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合计</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80,500,358.97</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15.10</w:t>
            </w:r>
          </w:p>
        </w:tc>
      </w:tr>
    </w:tbl>
    <w:p w:rsidP="001A5D39" w:rsidR="001A5D39" w:rsidRDefault="001A5D39" w:rsidRPr="008A409E">
      <w:pPr>
        <w:jc w:val="left"/>
        <w:rPr>
          <w:rFonts w:asciiTheme="minorEastAsia" w:eastAsiaTheme="minorEastAsia" w:hAnsiTheme="minorEastAsia"/>
          <w:b/>
          <w:bCs/>
          <w:color w:themeColor="text1" w:val="000000"/>
          <w:kern w:val="0"/>
          <w:sz w:val="24"/>
        </w:rPr>
      </w:pPr>
      <w:r w:rsidRPr="008A409E">
        <w:rPr>
          <w:rFonts w:asciiTheme="minorEastAsia" w:eastAsiaTheme="minorEastAsia" w:hAnsiTheme="minorEastAsia"/>
          <w:b/>
          <w:bCs/>
          <w:color w:themeColor="text1" w:val="000000"/>
          <w:kern w:val="0"/>
          <w:sz w:val="24"/>
        </w:rPr>
        <w:t/>
      </w:r>
      <w:r w:rsidRPr="008A409E">
        <w:rPr>
          <w:rFonts w:asciiTheme="minorEastAsia" w:eastAsiaTheme="minorEastAsia" w:hAnsiTheme="minorEastAsia" w:hint="eastAsia"/>
          <w:b/>
          <w:bCs/>
          <w:color w:themeColor="text1" w:val="000000"/>
          <w:kern w:val="0"/>
          <w:sz w:val="24"/>
        </w:rPr>
        <w:t>5.2.2报告期末按行业分类的</w:t>
      </w:r>
      <w:r w:rsidR="00BE251D">
        <w:rPr>
          <w:rFonts w:asciiTheme="minorEastAsia" w:eastAsiaTheme="minorEastAsia" w:hAnsiTheme="minorEastAsia" w:hint="eastAsia"/>
          <w:b/>
          <w:bCs/>
          <w:color w:themeColor="text1" w:val="000000"/>
          <w:kern w:val="0"/>
          <w:sz w:val="24"/>
        </w:rPr>
        <w:t>港股通</w:t>
      </w:r>
      <w:r w:rsidRPr="008A409E">
        <w:rPr>
          <w:rFonts w:asciiTheme="minorEastAsia" w:eastAsiaTheme="minorEastAsia" w:hAnsiTheme="minorEastAsia" w:hint="eastAsia"/>
          <w:b/>
          <w:bCs/>
          <w:color w:themeColor="text1" w:val="000000"/>
          <w:kern w:val="0"/>
          <w:sz w:val="24"/>
        </w:rPr>
        <w:t>投资股票投资组合</w:t>
      </w:r>
    </w:p>
    <w:p w:rsidP="001A5D39" w:rsidR="001A5D39" w:rsidRDefault="001A5D39">
      <w:pPr>
        <w:spacing w:before="29" w:line="360" w:lineRule="auto"/>
        <w:ind w:left="17"/>
        <w:rPr>
          <w:color w:val="000000"/>
          <w:sz w:val="24"/>
        </w:rPr>
      </w:pPr>
      <w:r w:rsidRPr="00FF0BBF">
        <w:rPr>
          <w:color w:val="000000"/>
          <w:sz w:val="24"/>
        </w:rPr>
        <w:t>本基金本报告期末未持有通过港股通投资的股票。</w:t>
      </w:r>
    </w:p>
    <w:p w:rsidP="007C14DF" w:rsidR="009238DB" w:rsidRDefault="009238DB" w:rsidRPr="001A5D39">
      <w:pPr>
        <w:autoSpaceDE w:val="0"/>
        <w:autoSpaceDN w:val="0"/>
        <w:adjustRightInd w:val="0"/>
        <w:spacing w:before="29" w:line="288" w:lineRule="auto"/>
        <w:jc w:val="left"/>
        <w:rPr>
          <w:rFonts w:eastAsiaTheme="minorEastAsia"/>
          <w:color w:val="000000"/>
          <w:kern w:val="0"/>
          <w:sz w:val="24"/>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57"/>
          <w:bottom w:type="dxa" w:w="57"/>
        </w:tblCellMar>
        <w:tblLook w:firstColumn="1" w:firstRow="1" w:lastColumn="0" w:lastRow="0" w:noHBand="0" w:noVBand="1" w:val="04A0"/>
      </w:tblPr>
      <w:tblGrid>
        <w:gridCol w:w="850"/>
        <w:gridCol w:w="1327"/>
        <w:gridCol w:w="1769"/>
        <w:gridCol w:w="1327"/>
        <w:gridCol w:w="1915"/>
        <w:gridCol w:w="1680"/>
      </w:tblGrid>
      <w:tr w:rsidR="000871DB" w:rsidRPr="007F52FA" w:rsidTr="00481DB2">
        <w:trPr>
          <w:jc w:val="center"/>
        </w:trPr>
        <w:tc>
          <w:tcPr>
            <w:tcW w:type="dxa" w:w="817"/>
            <w:vAlign w:val="center"/>
          </w:tcPr>
          <w:p w:rsidP="007C14DF" w:rsidR="000871DB" w:rsidRDefault="000871DB" w:rsidRPr="007F52FA">
            <w:pPr>
              <w:spacing w:before="29" w:line="288" w:lineRule="auto"/>
              <w:ind w:left="17"/>
              <w:jc w:val="center"/>
              <w:rPr>
                <w:color w:val="000000"/>
                <w:sz w:val="24"/>
              </w:rPr>
            </w:pPr>
            <w:r w:rsidRPr="007F52FA">
              <w:rPr>
                <w:color w:val="000000"/>
                <w:sz w:val="24"/>
              </w:rPr>
              <w:t>序号</w:t>
            </w:r>
          </w:p>
        </w:tc>
        <w:tc>
          <w:tcPr>
            <w:tcW w:type="dxa" w:w="1276"/>
            <w:vAlign w:val="center"/>
          </w:tcPr>
          <w:p w:rsidP="007C14DF" w:rsidR="000871DB" w:rsidRDefault="000871DB" w:rsidRPr="007F52FA">
            <w:pPr>
              <w:spacing w:before="29" w:line="288" w:lineRule="auto"/>
              <w:ind w:left="17"/>
              <w:jc w:val="center"/>
              <w:rPr>
                <w:color w:val="000000"/>
                <w:sz w:val="24"/>
              </w:rPr>
            </w:pPr>
            <w:r w:rsidRPr="007F52FA">
              <w:rPr>
                <w:color w:val="000000"/>
                <w:sz w:val="24"/>
              </w:rPr>
              <w:t>股票代码</w:t>
            </w:r>
          </w:p>
        </w:tc>
        <w:tc>
          <w:tcPr>
            <w:tcW w:type="dxa" w:w="1701"/>
            <w:vAlign w:val="center"/>
          </w:tcPr>
          <w:p w:rsidP="007C14DF" w:rsidR="000871DB" w:rsidRDefault="000871DB" w:rsidRPr="007F52FA">
            <w:pPr>
              <w:spacing w:before="29" w:line="288" w:lineRule="auto"/>
              <w:ind w:left="17"/>
              <w:jc w:val="center"/>
              <w:rPr>
                <w:color w:val="000000"/>
                <w:sz w:val="24"/>
              </w:rPr>
            </w:pPr>
            <w:r w:rsidRPr="007F52FA">
              <w:rPr>
                <w:color w:val="000000"/>
                <w:sz w:val="24"/>
              </w:rPr>
              <w:t>股票名称</w:t>
            </w:r>
          </w:p>
        </w:tc>
        <w:tc>
          <w:tcPr>
            <w:tcW w:type="dxa" w:w="1276"/>
            <w:vAlign w:val="center"/>
          </w:tcPr>
          <w:p w:rsidP="007C14DF" w:rsidR="000871DB" w:rsidRDefault="000871DB" w:rsidRPr="007F52FA">
            <w:pPr>
              <w:spacing w:before="29" w:line="288" w:lineRule="auto"/>
              <w:ind w:left="17"/>
              <w:jc w:val="center"/>
              <w:rPr>
                <w:color w:val="000000"/>
                <w:sz w:val="24"/>
              </w:rPr>
            </w:pPr>
            <w:r w:rsidRPr="007F52FA">
              <w:rPr>
                <w:color w:val="000000"/>
                <w:sz w:val="24"/>
              </w:rPr>
              <w:t>数量</w:t>
            </w:r>
            <w:r w:rsidR="00C44F1F" w:rsidRPr="007F52FA">
              <w:rPr>
                <w:sz w:val="24"/>
              </w:rPr>
              <w:t>（</w:t>
            </w:r>
            <w:r w:rsidRPr="007F52FA">
              <w:rPr>
                <w:color w:val="000000"/>
                <w:sz w:val="24"/>
              </w:rPr>
              <w:t>股</w:t>
            </w:r>
            <w:r w:rsidR="00C44F1F" w:rsidRPr="007F52FA">
              <w:rPr>
                <w:sz w:val="24"/>
              </w:rPr>
              <w:t>）</w:t>
            </w:r>
          </w:p>
        </w:tc>
        <w:tc>
          <w:tcPr>
            <w:tcW w:type="dxa" w:w="1842"/>
            <w:vAlign w:val="center"/>
          </w:tcPr>
          <w:p w:rsidP="007C14DF" w:rsidR="000871DB" w:rsidRDefault="000871DB" w:rsidRPr="007F52FA">
            <w:pPr>
              <w:autoSpaceDE w:val="0"/>
              <w:autoSpaceDN w:val="0"/>
              <w:adjustRightInd w:val="0"/>
              <w:spacing w:before="29" w:line="288" w:lineRule="auto"/>
              <w:ind w:left="17"/>
              <w:jc w:val="center"/>
              <w:rPr>
                <w:color w:val="000000"/>
                <w:sz w:val="24"/>
              </w:rPr>
            </w:pPr>
            <w:r w:rsidRPr="007F52FA">
              <w:rPr>
                <w:color w:val="000000"/>
                <w:sz w:val="24"/>
              </w:rPr>
              <w:t>公允价值</w:t>
            </w:r>
            <w:r w:rsidR="002D3BDD" w:rsidRPr="007F52FA">
              <w:rPr>
                <w:color w:val="000000"/>
                <w:kern w:val="0"/>
                <w:sz w:val="24"/>
              </w:rPr>
              <w:t>(</w:t>
            </w:r>
            <w:r w:rsidR="00C44F1F" w:rsidRPr="007F52FA">
              <w:rPr>
                <w:sz w:val="24"/>
              </w:rPr>
              <w:t>元</w:t>
            </w:r>
            <w:r w:rsidR="002D3BDD" w:rsidRPr="007F52FA">
              <w:rPr>
                <w:color w:val="000000"/>
                <w:kern w:val="0"/>
                <w:sz w:val="24"/>
              </w:rPr>
              <w:t>)</w:t>
            </w:r>
          </w:p>
        </w:tc>
        <w:tc>
          <w:tcPr>
            <w:tcW w:type="dxa" w:w="1616"/>
            <w:vAlign w:val="center"/>
          </w:tcPr>
          <w:p w:rsidP="007C14DF" w:rsidR="000871DB" w:rsidRDefault="000871DB" w:rsidRPr="007F52FA">
            <w:pPr>
              <w:spacing w:before="29" w:line="288" w:lineRule="auto"/>
              <w:ind w:left="17"/>
              <w:jc w:val="center"/>
              <w:rPr>
                <w:color w:val="000000"/>
                <w:sz w:val="24"/>
              </w:rPr>
            </w:pPr>
            <w:r w:rsidRPr="007F52FA">
              <w:rPr>
                <w:color w:val="000000"/>
                <w:sz w:val="24"/>
              </w:rPr>
              <w:t>占基金资产净值比例</w:t>
            </w:r>
            <w:r w:rsidR="00C44F1F" w:rsidRPr="007F52FA">
              <w:rPr>
                <w:sz w:val="24"/>
              </w:rPr>
              <w:t>（</w:t>
            </w:r>
            <w:r w:rsidRPr="007F52FA">
              <w:rPr>
                <w:color w:val="000000"/>
                <w:sz w:val="24"/>
              </w:rPr>
              <w:t>％</w:t>
            </w:r>
            <w:r w:rsidR="00C44F1F" w:rsidRPr="007F52FA">
              <w:rPr>
                <w:sz w:val="24"/>
              </w:rPr>
              <w:t>）</w:t>
            </w:r>
          </w:p>
        </w:tc>
      </w:tr>
      <w:tr>
        <w:tc>
          <w:tcPr>
            <w:vAlign w:val="center"/>
          </w:tcPr>
          <w:p>
            <w:pPr>
              <w:jc w:val="center"/>
            </w:pPr>
            <w:r>
              <w:rPr>
                <w:color w:val="000000"/>
                <w:sz w:val="24"/>
              </w:rPr>
              <w:t>1</w:t>
            </w:r>
          </w:p>
        </w:tc>
        <w:tc>
          <w:tcPr>
            <w:vAlign w:val="center"/>
          </w:tcPr>
          <w:p>
            <w:pPr>
              <w:jc w:val="center"/>
            </w:pPr>
            <w:r>
              <w:rPr>
                <w:color w:val="000000"/>
                <w:sz w:val="24"/>
              </w:rPr>
              <w:t>601398</w:t>
            </w:r>
          </w:p>
        </w:tc>
        <w:tc>
          <w:tcPr>
            <w:vAlign w:val="center"/>
          </w:tcPr>
          <w:p>
            <w:pPr>
              <w:jc w:val="center"/>
            </w:pPr>
            <w:r>
              <w:rPr>
                <w:color w:val="000000"/>
                <w:sz w:val="24"/>
              </w:rPr>
              <w:t>工商银行</w:t>
            </w:r>
          </w:p>
        </w:tc>
        <w:tc>
          <w:tcPr>
            <w:vAlign w:val="center"/>
          </w:tcPr>
          <w:p>
            <w:pPr>
              <w:jc w:val="right"/>
            </w:pPr>
            <w:r>
              <w:rPr>
                <w:color w:val="000000"/>
                <w:sz w:val="24"/>
              </w:rPr>
              <w:t>2,110,700</w:t>
            </w:r>
          </w:p>
        </w:tc>
        <w:tc>
          <w:tcPr>
            <w:vAlign w:val="center"/>
          </w:tcPr>
          <w:p>
            <w:pPr>
              <w:jc w:val="right"/>
            </w:pPr>
            <w:r>
              <w:rPr>
                <w:color w:val="000000"/>
                <w:sz w:val="24"/>
              </w:rPr>
              <w:t>11,672,171.00</w:t>
            </w:r>
          </w:p>
        </w:tc>
        <w:tc>
          <w:tcPr>
            <w:vAlign w:val="center"/>
          </w:tcPr>
          <w:p>
            <w:pPr>
              <w:jc w:val="right"/>
            </w:pPr>
            <w:r>
              <w:rPr>
                <w:color w:val="000000"/>
                <w:sz w:val="24"/>
              </w:rPr>
              <w:t>2.19</w:t>
            </w:r>
          </w:p>
        </w:tc>
      </w:tr>
      <w:tr>
        <w:tc>
          <w:tcPr>
            <w:vAlign w:val="center"/>
          </w:tcPr>
          <w:p>
            <w:pPr>
              <w:jc w:val="center"/>
            </w:pPr>
            <w:r>
              <w:rPr>
                <w:color w:val="000000"/>
                <w:sz w:val="24"/>
              </w:rPr>
              <w:t>2</w:t>
            </w:r>
          </w:p>
        </w:tc>
        <w:tc>
          <w:tcPr>
            <w:vAlign w:val="center"/>
          </w:tcPr>
          <w:p>
            <w:pPr>
              <w:jc w:val="center"/>
            </w:pPr>
            <w:r>
              <w:rPr>
                <w:color w:val="000000"/>
                <w:sz w:val="24"/>
              </w:rPr>
              <w:t>600519</w:t>
            </w:r>
          </w:p>
        </w:tc>
        <w:tc>
          <w:tcPr>
            <w:vAlign w:val="center"/>
          </w:tcPr>
          <w:p>
            <w:pPr>
              <w:jc w:val="center"/>
            </w:pPr>
            <w:r>
              <w:rPr>
                <w:color w:val="000000"/>
                <w:sz w:val="24"/>
              </w:rPr>
              <w:t>贵州茅台</w:t>
            </w:r>
          </w:p>
        </w:tc>
        <w:tc>
          <w:tcPr>
            <w:vAlign w:val="center"/>
          </w:tcPr>
          <w:p>
            <w:pPr>
              <w:jc w:val="right"/>
            </w:pPr>
            <w:r>
              <w:rPr>
                <w:color w:val="000000"/>
                <w:sz w:val="24"/>
              </w:rPr>
              <w:t>10,000</w:t>
            </w:r>
          </w:p>
        </w:tc>
        <w:tc>
          <w:tcPr>
            <w:vAlign w:val="center"/>
          </w:tcPr>
          <w:p>
            <w:pPr>
              <w:jc w:val="right"/>
            </w:pPr>
            <w:r>
              <w:rPr>
                <w:color w:val="000000"/>
                <w:sz w:val="24"/>
              </w:rPr>
              <w:t>11,500,000.00</w:t>
            </w:r>
          </w:p>
        </w:tc>
        <w:tc>
          <w:tcPr>
            <w:vAlign w:val="center"/>
          </w:tcPr>
          <w:p>
            <w:pPr>
              <w:jc w:val="right"/>
            </w:pPr>
            <w:r>
              <w:rPr>
                <w:color w:val="000000"/>
                <w:sz w:val="24"/>
              </w:rPr>
              <w:t>2.16</w:t>
            </w:r>
          </w:p>
        </w:tc>
      </w:tr>
      <w:tr>
        <w:tc>
          <w:tcPr>
            <w:vAlign w:val="center"/>
          </w:tcPr>
          <w:p>
            <w:pPr>
              <w:jc w:val="center"/>
            </w:pPr>
            <w:r>
              <w:rPr>
                <w:color w:val="000000"/>
                <w:sz w:val="24"/>
              </w:rPr>
              <w:t>3</w:t>
            </w:r>
          </w:p>
        </w:tc>
        <w:tc>
          <w:tcPr>
            <w:vAlign w:val="center"/>
          </w:tcPr>
          <w:p>
            <w:pPr>
              <w:jc w:val="center"/>
            </w:pPr>
            <w:r>
              <w:rPr>
                <w:color w:val="000000"/>
                <w:sz w:val="24"/>
              </w:rPr>
              <w:t>601628</w:t>
            </w:r>
          </w:p>
        </w:tc>
        <w:tc>
          <w:tcPr>
            <w:vAlign w:val="center"/>
          </w:tcPr>
          <w:p>
            <w:pPr>
              <w:jc w:val="center"/>
            </w:pPr>
            <w:r>
              <w:rPr>
                <w:color w:val="000000"/>
                <w:sz w:val="24"/>
              </w:rPr>
              <w:t>中国人寿</w:t>
            </w:r>
          </w:p>
        </w:tc>
        <w:tc>
          <w:tcPr>
            <w:vAlign w:val="center"/>
          </w:tcPr>
          <w:p>
            <w:pPr>
              <w:jc w:val="right"/>
            </w:pPr>
            <w:r>
              <w:rPr>
                <w:color w:val="000000"/>
                <w:sz w:val="24"/>
              </w:rPr>
              <w:t>295,000</w:t>
            </w:r>
          </w:p>
        </w:tc>
        <w:tc>
          <w:tcPr>
            <w:vAlign w:val="center"/>
          </w:tcPr>
          <w:p>
            <w:pPr>
              <w:jc w:val="right"/>
            </w:pPr>
            <w:r>
              <w:rPr>
                <w:color w:val="000000"/>
                <w:sz w:val="24"/>
              </w:rPr>
              <w:t>8,106,600.00</w:t>
            </w:r>
          </w:p>
        </w:tc>
        <w:tc>
          <w:tcPr>
            <w:vAlign w:val="center"/>
          </w:tcPr>
          <w:p>
            <w:pPr>
              <w:jc w:val="right"/>
            </w:pPr>
            <w:r>
              <w:rPr>
                <w:color w:val="000000"/>
                <w:sz w:val="24"/>
              </w:rPr>
              <w:t>1.52</w:t>
            </w:r>
          </w:p>
        </w:tc>
      </w:tr>
      <w:tr>
        <w:tc>
          <w:tcPr>
            <w:vAlign w:val="center"/>
          </w:tcPr>
          <w:p>
            <w:pPr>
              <w:jc w:val="center"/>
            </w:pPr>
            <w:r>
              <w:rPr>
                <w:color w:val="000000"/>
                <w:sz w:val="24"/>
              </w:rPr>
              <w:t>4</w:t>
            </w:r>
          </w:p>
        </w:tc>
        <w:tc>
          <w:tcPr>
            <w:vAlign w:val="center"/>
          </w:tcPr>
          <w:p>
            <w:pPr>
              <w:jc w:val="center"/>
            </w:pPr>
            <w:r>
              <w:rPr>
                <w:color w:val="000000"/>
                <w:sz w:val="24"/>
              </w:rPr>
              <w:t>601288</w:t>
            </w:r>
          </w:p>
        </w:tc>
        <w:tc>
          <w:tcPr>
            <w:vAlign w:val="center"/>
          </w:tcPr>
          <w:p>
            <w:pPr>
              <w:jc w:val="center"/>
            </w:pPr>
            <w:r>
              <w:rPr>
                <w:color w:val="000000"/>
                <w:sz w:val="24"/>
              </w:rPr>
              <w:t>农业银行</w:t>
            </w:r>
          </w:p>
        </w:tc>
        <w:tc>
          <w:tcPr>
            <w:vAlign w:val="center"/>
          </w:tcPr>
          <w:p>
            <w:pPr>
              <w:jc w:val="right"/>
            </w:pPr>
            <w:r>
              <w:rPr>
                <w:color w:val="000000"/>
                <w:sz w:val="24"/>
              </w:rPr>
              <w:t>2,000,000</w:t>
            </w:r>
          </w:p>
        </w:tc>
        <w:tc>
          <w:tcPr>
            <w:vAlign w:val="center"/>
          </w:tcPr>
          <w:p>
            <w:pPr>
              <w:jc w:val="right"/>
            </w:pPr>
            <w:r>
              <w:rPr>
                <w:color w:val="000000"/>
                <w:sz w:val="24"/>
              </w:rPr>
              <w:t>6,920,000.00</w:t>
            </w:r>
          </w:p>
        </w:tc>
        <w:tc>
          <w:tcPr>
            <w:vAlign w:val="center"/>
          </w:tcPr>
          <w:p>
            <w:pPr>
              <w:jc w:val="right"/>
            </w:pPr>
            <w:r>
              <w:rPr>
                <w:color w:val="000000"/>
                <w:sz w:val="24"/>
              </w:rPr>
              <w:t>1.30</w:t>
            </w:r>
          </w:p>
        </w:tc>
      </w:tr>
      <w:tr>
        <w:tc>
          <w:tcPr>
            <w:vAlign w:val="center"/>
          </w:tcPr>
          <w:p>
            <w:pPr>
              <w:jc w:val="center"/>
            </w:pPr>
            <w:r>
              <w:rPr>
                <w:color w:val="000000"/>
                <w:sz w:val="24"/>
              </w:rPr>
              <w:t>5</w:t>
            </w:r>
          </w:p>
        </w:tc>
        <w:tc>
          <w:tcPr>
            <w:vAlign w:val="center"/>
          </w:tcPr>
          <w:p>
            <w:pPr>
              <w:jc w:val="center"/>
            </w:pPr>
            <w:r>
              <w:rPr>
                <w:color w:val="000000"/>
                <w:sz w:val="24"/>
              </w:rPr>
              <w:t>600048</w:t>
            </w:r>
          </w:p>
        </w:tc>
        <w:tc>
          <w:tcPr>
            <w:vAlign w:val="center"/>
          </w:tcPr>
          <w:p>
            <w:pPr>
              <w:jc w:val="center"/>
            </w:pPr>
            <w:r>
              <w:rPr>
                <w:color w:val="000000"/>
                <w:sz w:val="24"/>
              </w:rPr>
              <w:t>保利地产</w:t>
            </w:r>
          </w:p>
        </w:tc>
        <w:tc>
          <w:tcPr>
            <w:vAlign w:val="center"/>
          </w:tcPr>
          <w:p>
            <w:pPr>
              <w:jc w:val="right"/>
            </w:pPr>
            <w:r>
              <w:rPr>
                <w:color w:val="000000"/>
                <w:sz w:val="24"/>
              </w:rPr>
              <w:t>472,900</w:t>
            </w:r>
          </w:p>
        </w:tc>
        <w:tc>
          <w:tcPr>
            <w:vAlign w:val="center"/>
          </w:tcPr>
          <w:p>
            <w:pPr>
              <w:jc w:val="right"/>
            </w:pPr>
            <w:r>
              <w:rPr>
                <w:color w:val="000000"/>
                <w:sz w:val="24"/>
              </w:rPr>
              <w:t>6,762,470.00</w:t>
            </w:r>
          </w:p>
        </w:tc>
        <w:tc>
          <w:tcPr>
            <w:vAlign w:val="center"/>
          </w:tcPr>
          <w:p>
            <w:pPr>
              <w:jc w:val="right"/>
            </w:pPr>
            <w:r>
              <w:rPr>
                <w:color w:val="000000"/>
                <w:sz w:val="24"/>
              </w:rPr>
              <w:t>1.27</w:t>
            </w:r>
          </w:p>
        </w:tc>
      </w:tr>
      <w:tr>
        <w:tc>
          <w:tcPr>
            <w:vAlign w:val="center"/>
          </w:tcPr>
          <w:p>
            <w:pPr>
              <w:jc w:val="center"/>
            </w:pPr>
            <w:r>
              <w:rPr>
                <w:color w:val="000000"/>
                <w:sz w:val="24"/>
              </w:rPr>
              <w:t>6</w:t>
            </w:r>
          </w:p>
        </w:tc>
        <w:tc>
          <w:tcPr>
            <w:vAlign w:val="center"/>
          </w:tcPr>
          <w:p>
            <w:pPr>
              <w:jc w:val="center"/>
            </w:pPr>
            <w:r>
              <w:rPr>
                <w:color w:val="000000"/>
                <w:sz w:val="24"/>
              </w:rPr>
              <w:t>600887</w:t>
            </w:r>
          </w:p>
        </w:tc>
        <w:tc>
          <w:tcPr>
            <w:vAlign w:val="center"/>
          </w:tcPr>
          <w:p>
            <w:pPr>
              <w:jc w:val="center"/>
            </w:pPr>
            <w:r>
              <w:rPr>
                <w:color w:val="000000"/>
                <w:sz w:val="24"/>
              </w:rPr>
              <w:t>伊利股份</w:t>
            </w:r>
          </w:p>
        </w:tc>
        <w:tc>
          <w:tcPr>
            <w:vAlign w:val="center"/>
          </w:tcPr>
          <w:p>
            <w:pPr>
              <w:jc w:val="right"/>
            </w:pPr>
            <w:r>
              <w:rPr>
                <w:color w:val="000000"/>
                <w:sz w:val="24"/>
              </w:rPr>
              <w:t>200,000</w:t>
            </w:r>
          </w:p>
        </w:tc>
        <w:tc>
          <w:tcPr>
            <w:vAlign w:val="center"/>
          </w:tcPr>
          <w:p>
            <w:pPr>
              <w:jc w:val="right"/>
            </w:pPr>
            <w:r>
              <w:rPr>
                <w:color w:val="000000"/>
                <w:sz w:val="24"/>
              </w:rPr>
              <w:t>5,704,000.00</w:t>
            </w:r>
          </w:p>
        </w:tc>
        <w:tc>
          <w:tcPr>
            <w:vAlign w:val="center"/>
          </w:tcPr>
          <w:p>
            <w:pPr>
              <w:jc w:val="right"/>
            </w:pPr>
            <w:r>
              <w:rPr>
                <w:color w:val="000000"/>
                <w:sz w:val="24"/>
              </w:rPr>
              <w:t>1.07</w:t>
            </w:r>
          </w:p>
        </w:tc>
      </w:tr>
      <w:tr>
        <w:tc>
          <w:tcPr>
            <w:vAlign w:val="center"/>
          </w:tcPr>
          <w:p>
            <w:pPr>
              <w:jc w:val="center"/>
            </w:pPr>
            <w:r>
              <w:rPr>
                <w:color w:val="000000"/>
                <w:sz w:val="24"/>
              </w:rPr>
              <w:t>7</w:t>
            </w:r>
          </w:p>
        </w:tc>
        <w:tc>
          <w:tcPr>
            <w:vAlign w:val="center"/>
          </w:tcPr>
          <w:p>
            <w:pPr>
              <w:jc w:val="center"/>
            </w:pPr>
            <w:r>
              <w:rPr>
                <w:color w:val="000000"/>
                <w:sz w:val="24"/>
              </w:rPr>
              <w:t>002271</w:t>
            </w:r>
          </w:p>
        </w:tc>
        <w:tc>
          <w:tcPr>
            <w:vAlign w:val="center"/>
          </w:tcPr>
          <w:p>
            <w:pPr>
              <w:jc w:val="center"/>
            </w:pPr>
            <w:r>
              <w:rPr>
                <w:color w:val="000000"/>
                <w:sz w:val="24"/>
              </w:rPr>
              <w:t>东方雨虹</w:t>
            </w:r>
          </w:p>
        </w:tc>
        <w:tc>
          <w:tcPr>
            <w:vAlign w:val="center"/>
          </w:tcPr>
          <w:p>
            <w:pPr>
              <w:jc w:val="right"/>
            </w:pPr>
            <w:r>
              <w:rPr>
                <w:color w:val="000000"/>
                <w:sz w:val="24"/>
              </w:rPr>
              <w:t>199,963</w:t>
            </w:r>
          </w:p>
        </w:tc>
        <w:tc>
          <w:tcPr>
            <w:vAlign w:val="center"/>
          </w:tcPr>
          <w:p>
            <w:pPr>
              <w:jc w:val="right"/>
            </w:pPr>
            <w:r>
              <w:rPr>
                <w:color w:val="000000"/>
                <w:sz w:val="24"/>
              </w:rPr>
              <w:t>4,203,222.26</w:t>
            </w:r>
          </w:p>
        </w:tc>
        <w:tc>
          <w:tcPr>
            <w:vAlign w:val="center"/>
          </w:tcPr>
          <w:p>
            <w:pPr>
              <w:jc w:val="right"/>
            </w:pPr>
            <w:r>
              <w:rPr>
                <w:color w:val="000000"/>
                <w:sz w:val="24"/>
              </w:rPr>
              <w:t>0.79</w:t>
            </w:r>
          </w:p>
        </w:tc>
      </w:tr>
      <w:tr>
        <w:tc>
          <w:tcPr>
            <w:vAlign w:val="center"/>
          </w:tcPr>
          <w:p>
            <w:pPr>
              <w:jc w:val="center"/>
            </w:pPr>
            <w:r>
              <w:rPr>
                <w:color w:val="000000"/>
                <w:sz w:val="24"/>
              </w:rPr>
              <w:t>8</w:t>
            </w:r>
          </w:p>
        </w:tc>
        <w:tc>
          <w:tcPr>
            <w:vAlign w:val="center"/>
          </w:tcPr>
          <w:p>
            <w:pPr>
              <w:jc w:val="center"/>
            </w:pPr>
            <w:r>
              <w:rPr>
                <w:color w:val="000000"/>
                <w:sz w:val="24"/>
              </w:rPr>
              <w:t>600009</w:t>
            </w:r>
          </w:p>
        </w:tc>
        <w:tc>
          <w:tcPr>
            <w:vAlign w:val="center"/>
          </w:tcPr>
          <w:p>
            <w:pPr>
              <w:jc w:val="center"/>
            </w:pPr>
            <w:r>
              <w:rPr>
                <w:color w:val="000000"/>
                <w:sz w:val="24"/>
              </w:rPr>
              <w:t>上海机场</w:t>
            </w:r>
          </w:p>
        </w:tc>
        <w:tc>
          <w:tcPr>
            <w:vAlign w:val="center"/>
          </w:tcPr>
          <w:p>
            <w:pPr>
              <w:jc w:val="right"/>
            </w:pPr>
            <w:r>
              <w:rPr>
                <w:color w:val="000000"/>
                <w:sz w:val="24"/>
              </w:rPr>
              <w:t>46,449</w:t>
            </w:r>
          </w:p>
        </w:tc>
        <w:tc>
          <w:tcPr>
            <w:vAlign w:val="center"/>
          </w:tcPr>
          <w:p>
            <w:pPr>
              <w:jc w:val="right"/>
            </w:pPr>
            <w:r>
              <w:rPr>
                <w:color w:val="000000"/>
                <w:sz w:val="24"/>
              </w:rPr>
              <w:t>3,705,701.22</w:t>
            </w:r>
          </w:p>
        </w:tc>
        <w:tc>
          <w:tcPr>
            <w:vAlign w:val="center"/>
          </w:tcPr>
          <w:p>
            <w:pPr>
              <w:jc w:val="right"/>
            </w:pPr>
            <w:r>
              <w:rPr>
                <w:color w:val="000000"/>
                <w:sz w:val="24"/>
              </w:rPr>
              <w:t>0.69</w:t>
            </w:r>
          </w:p>
        </w:tc>
      </w:tr>
      <w:tr>
        <w:tc>
          <w:tcPr>
            <w:vAlign w:val="center"/>
          </w:tcPr>
          <w:p>
            <w:pPr>
              <w:jc w:val="center"/>
            </w:pPr>
            <w:r>
              <w:rPr>
                <w:color w:val="000000"/>
                <w:sz w:val="24"/>
              </w:rPr>
              <w:t>9</w:t>
            </w:r>
          </w:p>
        </w:tc>
        <w:tc>
          <w:tcPr>
            <w:vAlign w:val="center"/>
          </w:tcPr>
          <w:p>
            <w:pPr>
              <w:jc w:val="center"/>
            </w:pPr>
            <w:r>
              <w:rPr>
                <w:color w:val="000000"/>
                <w:sz w:val="24"/>
              </w:rPr>
              <w:t>600690</w:t>
            </w:r>
          </w:p>
        </w:tc>
        <w:tc>
          <w:tcPr>
            <w:vAlign w:val="center"/>
          </w:tcPr>
          <w:p>
            <w:pPr>
              <w:jc w:val="center"/>
            </w:pPr>
            <w:r>
              <w:rPr>
                <w:color w:val="000000"/>
                <w:sz w:val="24"/>
              </w:rPr>
              <w:t>海尔智家</w:t>
            </w:r>
          </w:p>
        </w:tc>
        <w:tc>
          <w:tcPr>
            <w:vAlign w:val="center"/>
          </w:tcPr>
          <w:p>
            <w:pPr>
              <w:jc w:val="right"/>
            </w:pPr>
            <w:r>
              <w:rPr>
                <w:color w:val="000000"/>
                <w:sz w:val="24"/>
              </w:rPr>
              <w:t>200,000</w:t>
            </w:r>
          </w:p>
        </w:tc>
        <w:tc>
          <w:tcPr>
            <w:vAlign w:val="center"/>
          </w:tcPr>
          <w:p>
            <w:pPr>
              <w:jc w:val="right"/>
            </w:pPr>
            <w:r>
              <w:rPr>
                <w:color w:val="000000"/>
                <w:sz w:val="24"/>
              </w:rPr>
              <w:t>3,060,000.00</w:t>
            </w:r>
          </w:p>
        </w:tc>
        <w:tc>
          <w:tcPr>
            <w:vAlign w:val="center"/>
          </w:tcPr>
          <w:p>
            <w:pPr>
              <w:jc w:val="right"/>
            </w:pPr>
            <w:r>
              <w:rPr>
                <w:color w:val="000000"/>
                <w:sz w:val="24"/>
              </w:rPr>
              <w:t>0.57</w:t>
            </w:r>
          </w:p>
        </w:tc>
      </w:tr>
      <w:tr>
        <w:tc>
          <w:tcPr>
            <w:vAlign w:val="center"/>
          </w:tcPr>
          <w:p>
            <w:pPr>
              <w:jc w:val="center"/>
            </w:pPr>
            <w:r>
              <w:rPr>
                <w:color w:val="000000"/>
                <w:sz w:val="24"/>
              </w:rPr>
              <w:t>10</w:t>
            </w:r>
          </w:p>
        </w:tc>
        <w:tc>
          <w:tcPr>
            <w:vAlign w:val="center"/>
          </w:tcPr>
          <w:p>
            <w:pPr>
              <w:jc w:val="center"/>
            </w:pPr>
            <w:r>
              <w:rPr>
                <w:color w:val="000000"/>
                <w:sz w:val="24"/>
              </w:rPr>
              <w:t>000538</w:t>
            </w:r>
          </w:p>
        </w:tc>
        <w:tc>
          <w:tcPr>
            <w:vAlign w:val="center"/>
          </w:tcPr>
          <w:p>
            <w:pPr>
              <w:jc w:val="center"/>
            </w:pPr>
            <w:r>
              <w:rPr>
                <w:color w:val="000000"/>
                <w:sz w:val="24"/>
              </w:rPr>
              <w:t>云南白药</w:t>
            </w:r>
          </w:p>
        </w:tc>
        <w:tc>
          <w:tcPr>
            <w:vAlign w:val="center"/>
          </w:tcPr>
          <w:p>
            <w:pPr>
              <w:jc w:val="right"/>
            </w:pPr>
            <w:r>
              <w:rPr>
                <w:color w:val="000000"/>
                <w:sz w:val="24"/>
              </w:rPr>
              <w:t>39,928</w:t>
            </w:r>
          </w:p>
        </w:tc>
        <w:tc>
          <w:tcPr>
            <w:vAlign w:val="center"/>
          </w:tcPr>
          <w:p>
            <w:pPr>
              <w:jc w:val="right"/>
            </w:pPr>
            <w:r>
              <w:rPr>
                <w:color w:val="000000"/>
                <w:sz w:val="24"/>
              </w:rPr>
              <w:t>3,036,524.40</w:t>
            </w:r>
          </w:p>
        </w:tc>
        <w:tc>
          <w:tcPr>
            <w:vAlign w:val="center"/>
          </w:tcPr>
          <w:p>
            <w:pPr>
              <w:jc w:val="right"/>
            </w:pPr>
            <w:r>
              <w:rPr>
                <w:color w:val="000000"/>
                <w:sz w:val="24"/>
              </w:rPr>
              <w:t>0.57</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p w:rsidP="001A5E45" w:rsidR="008220BF" w:rsidRDefault="001A5E45" w:rsidRPr="008220BF">
      <w:pPr>
        <w:autoSpaceDE w:val="0"/>
        <w:autoSpaceDN w:val="0"/>
        <w:adjustRightInd w:val="0"/>
        <w:spacing w:before="29" w:line="288" w:lineRule="auto"/>
        <w:jc w:val="right"/>
        <w:rPr>
          <w:color w:val="000000"/>
          <w:kern w:val="0"/>
          <w:sz w:val="24"/>
        </w:rPr>
      </w:pPr>
      <w:r w:rsidRPr="001A5E45">
        <w:rPr>
          <w:rFonts w:hint="eastAsia"/>
          <w:color w:val="000000"/>
          <w:kern w:val="0"/>
          <w:sz w:val="24"/>
        </w:rPr>
        <w:t/>
      </w:r>
      <w:r w:rsidRPr="001A5E45">
        <w:rPr>
          <w:rFonts w:hint="eastAsia"/>
          <w:color w:val="000000"/>
          <w:kern w:val="0"/>
          <w:sz w:val="24"/>
        </w:rPr>
        <w:t>金额单位：人民币元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50"/>
        <w:gridCol w:w="3390"/>
        <w:gridCol w:w="2948"/>
        <w:gridCol w:w="1680"/>
      </w:tblGrid>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序号</w:t>
            </w:r>
          </w:p>
        </w:tc>
        <w:tc>
          <w:tcPr>
            <w:tcW w:type="dxa" w:w="3260"/>
            <w:vAlign w:val="center"/>
          </w:tcPr>
          <w:p w:rsidP="007C14DF" w:rsidR="00296E4A" w:rsidRDefault="00296E4A" w:rsidRPr="007F52FA">
            <w:pPr>
              <w:spacing w:before="29" w:line="288" w:lineRule="auto"/>
              <w:ind w:left="17"/>
              <w:jc w:val="center"/>
              <w:rPr>
                <w:color w:val="000000"/>
                <w:sz w:val="24"/>
              </w:rPr>
            </w:pPr>
            <w:r w:rsidRPr="007F52FA">
              <w:rPr>
                <w:color w:val="000000"/>
                <w:sz w:val="24"/>
              </w:rPr>
              <w:t>债券品种</w:t>
            </w:r>
            <w:r w:rsidR="00EB58F5" w:rsidRPr="007F52FA">
              <w:rPr>
                <w:color w:val="000000"/>
                <w:sz w:val="24"/>
              </w:rPr>
              <w:t/>
            </w:r>
          </w:p>
        </w:tc>
        <w:tc>
          <w:tcPr>
            <w:tcW w:type="dxa" w:w="2835"/>
            <w:vAlign w:val="center"/>
          </w:tcPr>
          <w:p w:rsidP="007C14DF" w:rsidR="00296E4A" w:rsidRDefault="00296E4A" w:rsidRPr="007F52FA">
            <w:pPr>
              <w:spacing w:before="29" w:line="288" w:lineRule="auto"/>
              <w:ind w:left="17"/>
              <w:jc w:val="center"/>
              <w:rPr>
                <w:color w:val="000000"/>
                <w:sz w:val="24"/>
              </w:rPr>
            </w:pPr>
            <w:r w:rsidRPr="007F52FA">
              <w:rPr>
                <w:color w:val="000000"/>
                <w:sz w:val="24"/>
              </w:rPr>
              <w:t>公允价值</w:t>
            </w:r>
          </w:p>
        </w:tc>
        <w:tc>
          <w:tcPr>
            <w:tcW w:type="dxa" w:w="1616"/>
            <w:vAlign w:val="center"/>
          </w:tcPr>
          <w:p w:rsidP="007C14DF" w:rsidR="00296E4A" w:rsidRDefault="00296E4A" w:rsidRPr="007F52FA">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1</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国家债券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
            </w:r>
            <w:r w:rsidRPr="007F52FA">
              <w:rPr>
                <w:color w:val="000000"/>
                <w:sz w:val="24"/>
              </w:rPr>
              <w:lastRenderedPageBreak/>
              <w:t>-</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lastRenderedPageBreak/>
              <w:t/>
            </w:r>
            <w:r w:rsidRPr="007F52FA">
              <w:rPr>
                <w:color w:val="000000"/>
                <w:sz w:val="24"/>
              </w:rPr>
              <w:lastRenderedPageBreak/>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lastRenderedPageBreak/>
              <w:t>2</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央行票据</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3</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金融债券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26,312,000.00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4.93</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其中：政策性金融债</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26,312,000.00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4.93</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4</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企业债券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202,443,000.00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37.96</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5</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
            </w:r>
            <w:r w:rsidRPr="007F52FA">
              <w:rPr>
                <w:color w:val="000000"/>
                <w:sz w:val="24"/>
              </w:rPr>
              <w:lastRenderedPageBreak/>
              <w:t>-</w:t>
            </w:r>
          </w:p>
        </w:tc>
      </w:tr>
      <w:tr w:rsidR="00686943" w:rsidRPr="007F52FA" w:rsidTr="000F7468">
        <w:trPr>
          <w:jc w:val="center"/>
        </w:trPr>
        <w:tc>
          <w:tcPr>
            <w:tcW w:type="dxa" w:w="817"/>
            <w:vAlign w:val="center"/>
          </w:tcPr>
          <w:p w:rsidP="007C14DF" w:rsidR="00686943" w:rsidRDefault="00686943" w:rsidRPr="007F52FA">
            <w:pPr>
              <w:spacing w:before="29" w:line="288" w:lineRule="auto"/>
              <w:ind w:left="17"/>
              <w:jc w:val="center"/>
              <w:rPr>
                <w:color w:val="000000"/>
                <w:sz w:val="24"/>
              </w:rPr>
            </w:pPr>
            <w:r w:rsidRPr="007F52FA">
              <w:rPr>
                <w:color w:val="000000"/>
                <w:sz w:val="24"/>
              </w:rPr>
              <w:lastRenderedPageBreak/>
              <w:t>6</w:t>
            </w:r>
          </w:p>
        </w:tc>
        <w:tc>
          <w:tcPr>
            <w:tcW w:type="dxa" w:w="3260"/>
            <w:vAlign w:val="center"/>
          </w:tcPr>
          <w:p w:rsidP="007C14DF" w:rsidR="00686943" w:rsidRDefault="00686943" w:rsidRPr="007F52FA">
            <w:pPr>
              <w:spacing w:before="29" w:line="288" w:lineRule="auto"/>
              <w:ind w:left="17"/>
              <w:jc w:val="left"/>
              <w:rPr>
                <w:color w:val="000000"/>
                <w:sz w:val="24"/>
              </w:rPr>
            </w:pPr>
            <w:r w:rsidRPr="007F52FA">
              <w:rPr>
                <w:color w:val="000000"/>
                <w:sz w:val="24"/>
              </w:rPr>
              <w:t>中期票据</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182,510,000.00</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34.23</w:t>
            </w:r>
          </w:p>
        </w:tc>
      </w:tr>
      <w:tr w:rsidR="00686943" w:rsidRPr="007F52FA" w:rsidTr="000F7468">
        <w:trPr>
          <w:jc w:val="center"/>
        </w:trPr>
        <w:tc>
          <w:tcPr>
            <w:tcW w:type="dxa" w:w="817"/>
            <w:vAlign w:val="center"/>
          </w:tcPr>
          <w:p w:rsidP="007C14DF" w:rsidR="00686943" w:rsidRDefault="00686943" w:rsidRPr="007F52FA">
            <w:pPr>
              <w:spacing w:before="29" w:line="288" w:lineRule="auto"/>
              <w:ind w:left="17"/>
              <w:jc w:val="center"/>
              <w:rPr>
                <w:color w:val="000000"/>
                <w:sz w:val="24"/>
              </w:rPr>
            </w:pPr>
            <w:r w:rsidRPr="007F52FA">
              <w:rPr>
                <w:color w:val="000000"/>
                <w:sz w:val="24"/>
              </w:rPr>
              <w:t>7</w:t>
            </w:r>
          </w:p>
        </w:tc>
        <w:tc>
          <w:tcPr>
            <w:tcW w:type="dxa" w:w="3260"/>
            <w:vAlign w:val="center"/>
          </w:tcPr>
          <w:p w:rsidP="007F50FB" w:rsidR="00686943" w:rsidRDefault="00686943" w:rsidRPr="007F52FA">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86,000.00</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0.02</w:t>
            </w:r>
          </w:p>
        </w:tc>
      </w:tr>
      <w:tr w:rsidR="00514118" w:rsidRPr="007F52FA" w:rsidTr="000F7468">
        <w:trPr>
          <w:jc w:val="center"/>
        </w:trPr>
        <w:tc>
          <w:tcPr>
            <w:tcW w:type="dxa" w:w="817"/>
            <w:vAlign w:val="center"/>
          </w:tcPr>
          <w:p w:rsidP="007C14DF" w:rsidR="00514118" w:rsidRDefault="00514118" w:rsidRPr="007F52FA">
            <w:pPr>
              <w:spacing w:before="29" w:line="288" w:lineRule="auto"/>
              <w:ind w:left="17"/>
              <w:jc w:val="center"/>
              <w:rPr>
                <w:color w:val="000000"/>
                <w:sz w:val="24"/>
              </w:rPr>
            </w:pPr>
            <w:r>
              <w:rPr>
                <w:rFonts w:hint="eastAsia"/>
                <w:color w:val="000000"/>
                <w:sz w:val="24"/>
              </w:rPr>
              <w:t>8</w:t>
            </w:r>
          </w:p>
        </w:tc>
        <w:tc>
          <w:tcPr>
            <w:tcW w:type="dxa" w:w="3260"/>
            <w:vAlign w:val="center"/>
          </w:tcPr>
          <w:p w:rsidP="007C14DF" w:rsidR="00514118" w:rsidRDefault="00B279B6" w:rsidRPr="007F52FA">
            <w:pPr>
              <w:spacing w:before="29" w:line="288" w:lineRule="auto"/>
              <w:ind w:left="17"/>
              <w:jc w:val="left"/>
              <w:rPr>
                <w:color w:val="000000"/>
                <w:sz w:val="24"/>
              </w:rPr>
            </w:pPr>
            <w:r w:rsidRPr="00AF0CAB">
              <w:rPr>
                <w:rFonts w:hint="eastAsia"/>
                <w:color w:val="000000"/>
                <w:sz w:val="24"/>
              </w:rPr>
              <w:t>同业存单</w:t>
            </w:r>
          </w:p>
        </w:tc>
        <w:tc>
          <w:tcPr>
            <w:tcW w:type="dxa" w:w="2835"/>
            <w:vAlign w:val="center"/>
          </w:tcPr>
          <w:p w:rsidP="007C14DF" w:rsidR="00514118" w:rsidRDefault="001936D7" w:rsidRPr="007F52FA">
            <w:pPr>
              <w:spacing w:before="29" w:line="288" w:lineRule="auto"/>
              <w:ind w:left="17"/>
              <w:jc w:val="right"/>
              <w:rPr>
                <w:color w:val="000000"/>
                <w:sz w:val="24"/>
              </w:rPr>
            </w:pPr>
            <w:r w:rsidRPr="00AF0CAB">
              <w:rPr>
                <w:rFonts w:hint="eastAsia"/>
                <w:color w:val="000000"/>
                <w:sz w:val="24"/>
              </w:rPr>
              <w:t/>
            </w:r>
            <w:r w:rsidRPr="00AF0CAB">
              <w:rPr>
                <w:color w:val="000000"/>
                <w:sz w:val="24"/>
              </w:rPr>
              <w:t/>
            </w:r>
            <w:r w:rsidRPr="00AF0CAB">
              <w:rPr>
                <w:rFonts w:hint="eastAsia"/>
                <w:color w:val="000000"/>
                <w:sz w:val="24"/>
              </w:rPr>
              <w:t>-</w:t>
            </w:r>
          </w:p>
        </w:tc>
        <w:tc>
          <w:tcPr>
            <w:tcW w:type="dxa" w:w="1616"/>
            <w:vAlign w:val="center"/>
          </w:tcPr>
          <w:p w:rsidP="007C14DF" w:rsidR="00514118" w:rsidRDefault="00FC6F53" w:rsidRPr="007F52FA">
            <w:pPr>
              <w:spacing w:before="29" w:line="288" w:lineRule="auto"/>
              <w:ind w:left="17"/>
              <w:jc w:val="right"/>
              <w:rPr>
                <w:color w:val="000000"/>
                <w:sz w:val="24"/>
              </w:rPr>
            </w:pPr>
            <w:r w:rsidRPr="00AF0CAB">
              <w:rPr>
                <w:rFonts w:hint="eastAsia"/>
                <w:color w:val="000000"/>
                <w:sz w:val="24"/>
              </w:rPr>
              <w:t/>
            </w:r>
            <w:r w:rsidRPr="00AF0CAB">
              <w:rPr>
                <w:color w:val="000000"/>
                <w:sz w:val="24"/>
              </w:rPr>
              <w:t/>
            </w:r>
            <w:r w:rsidRPr="00AF0CAB">
              <w:rPr>
                <w:rFonts w:hint="eastAsia"/>
                <w:color w:val="000000"/>
                <w:sz w:val="24"/>
              </w:rPr>
              <w:t>-</w:t>
            </w:r>
          </w:p>
        </w:tc>
      </w:tr>
      <w:tr w:rsidR="00686943" w:rsidRPr="007F52FA" w:rsidTr="000F7468">
        <w:trPr>
          <w:jc w:val="center"/>
        </w:trPr>
        <w:tc>
          <w:tcPr>
            <w:tcW w:type="dxa" w:w="817"/>
            <w:vAlign w:val="center"/>
          </w:tcPr>
          <w:p w:rsidP="00CB375E" w:rsidR="00686943" w:rsidRDefault="00686943" w:rsidRPr="007F52FA">
            <w:pPr>
              <w:spacing w:before="29" w:line="288" w:lineRule="auto"/>
              <w:ind w:left="17"/>
              <w:jc w:val="center"/>
              <w:rPr>
                <w:color w:val="000000"/>
                <w:sz w:val="24"/>
              </w:rPr>
            </w:pPr>
            <w:r w:rsidRPr="007F52FA">
              <w:rPr>
                <w:color w:val="000000"/>
                <w:sz w:val="24"/>
              </w:rPr>
              <w:t/>
            </w:r>
            <w:r w:rsidR="00CB375E">
              <w:rPr>
                <w:rFonts w:hint="eastAsia"/>
                <w:color w:val="000000"/>
                <w:sz w:val="24"/>
              </w:rPr>
              <w:t/>
            </w:r>
            <w:r w:rsidRPr="007F52FA">
              <w:rPr>
                <w:color w:val="000000"/>
                <w:sz w:val="24"/>
              </w:rPr>
              <w:t>9</w:t>
            </w:r>
          </w:p>
        </w:tc>
        <w:tc>
          <w:tcPr>
            <w:tcW w:type="dxa" w:w="3260"/>
            <w:vAlign w:val="center"/>
          </w:tcPr>
          <w:p w:rsidP="007C14DF" w:rsidR="00686943" w:rsidRDefault="00686943" w:rsidRPr="007F52FA">
            <w:pPr>
              <w:spacing w:before="29" w:line="288" w:lineRule="auto"/>
              <w:ind w:left="17"/>
              <w:jc w:val="left"/>
              <w:rPr>
                <w:color w:val="000000"/>
                <w:sz w:val="24"/>
              </w:rPr>
            </w:pPr>
            <w:r w:rsidRPr="007F52FA">
              <w:rPr>
                <w:color w:val="000000"/>
                <w:sz w:val="24"/>
              </w:rPr>
              <w:t>其他</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type="dxa" w:w="817"/>
            <w:vAlign w:val="center"/>
          </w:tcPr>
          <w:p w:rsidP="00CB375E" w:rsidR="00686943" w:rsidRDefault="00686943" w:rsidRPr="007F52FA">
            <w:pPr>
              <w:spacing w:before="29" w:line="288" w:lineRule="auto"/>
              <w:ind w:left="17"/>
              <w:jc w:val="center"/>
              <w:rPr>
                <w:color w:val="000000"/>
                <w:sz w:val="24"/>
              </w:rPr>
            </w:pPr>
            <w:r w:rsidRPr="007F52FA">
              <w:rPr>
                <w:color w:val="000000"/>
                <w:sz w:val="24"/>
              </w:rPr>
              <w:t/>
            </w:r>
            <w:r w:rsidR="00CB375E">
              <w:rPr>
                <w:rFonts w:hint="eastAsia"/>
                <w:color w:val="000000"/>
                <w:sz w:val="24"/>
              </w:rPr>
              <w:t/>
            </w:r>
            <w:r w:rsidRPr="007F52FA">
              <w:rPr>
                <w:color w:val="000000"/>
                <w:sz w:val="24"/>
              </w:rPr>
              <w:t>10</w:t>
            </w:r>
          </w:p>
        </w:tc>
        <w:tc>
          <w:tcPr>
            <w:tcW w:type="dxa" w:w="3260"/>
            <w:vAlign w:val="center"/>
          </w:tcPr>
          <w:p w:rsidP="007C14DF" w:rsidR="00686943" w:rsidRDefault="00686943" w:rsidRPr="007F52FA">
            <w:pPr>
              <w:spacing w:before="29" w:line="288" w:lineRule="auto"/>
              <w:ind w:left="17"/>
              <w:jc w:val="left"/>
              <w:rPr>
                <w:color w:val="000000"/>
                <w:sz w:val="24"/>
              </w:rPr>
            </w:pPr>
            <w:r w:rsidRPr="007F52FA">
              <w:rPr>
                <w:color w:val="000000"/>
                <w:sz w:val="24"/>
              </w:rPr>
              <w:t>合计</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411,351,000.00</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77.14</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p w:rsidP="001A5E45" w:rsidR="00D21CE9" w:rsidRDefault="001A5E45" w:rsidRPr="00D21CE9">
      <w:pPr>
        <w:autoSpaceDE w:val="0"/>
        <w:autoSpaceDN w:val="0"/>
        <w:adjustRightInd w:val="0"/>
        <w:spacing w:before="29" w:line="288" w:lineRule="auto"/>
        <w:jc w:val="right"/>
        <w:rPr>
          <w:color w:val="000000"/>
          <w:kern w:val="0"/>
          <w:sz w:val="24"/>
        </w:rPr>
      </w:pPr>
      <w:r w:rsidRPr="001A5E45">
        <w:rPr>
          <w:rFonts w:hint="eastAsia"/>
          <w:color w:val="000000"/>
          <w:kern w:val="0"/>
          <w:sz w:val="24"/>
        </w:rPr>
        <w:lastRenderedPageBreak/>
        <w:t/>
      </w:r>
      <w:r w:rsidRPr="001A5E45">
        <w:rPr>
          <w:rFonts w:hint="eastAsia"/>
          <w:color w:val="000000"/>
          <w:kern w:val="0"/>
          <w:sz w:val="24"/>
        </w:rPr>
        <w:t>金额单位：人民币元</w:t>
      </w:r>
    </w:p>
    <w:tbl>
      <w:tblPr>
        <w:tblStyle w:val="af6"/>
        <w:tblW w:type="dxa" w:w="8868"/>
        <w:jc w:val="center"/>
        <w:tblLayout w:type="fixed"/>
        <w:tblCellMar>
          <w:top w:type="dxa" w:w="57"/>
          <w:bottom w:type="dxa" w:w="57"/>
        </w:tblCellMar>
        <w:tblLook w:firstColumn="1" w:firstRow="1" w:lastColumn="0" w:lastRow="0" w:noHBand="0" w:noVBand="1" w:val="04A0"/>
      </w:tblPr>
      <w:tblGrid>
        <w:gridCol w:w="1075"/>
        <w:gridCol w:w="1533"/>
        <w:gridCol w:w="1533"/>
        <w:gridCol w:w="1394"/>
        <w:gridCol w:w="1944"/>
        <w:gridCol w:w="1389"/>
      </w:tblGrid>
      <w:tr w:rsidR="00685FFC" w:rsidRPr="007F52FA" w:rsidTr="00B236A5">
        <w:trPr>
          <w:jc w:val="center"/>
        </w:trPr>
        <w:tc>
          <w:tcPr>
            <w:tcW w:type="dxa" w:w="1095"/>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type="dxa" w:w="1562"/>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type="dxa" w:w="1562"/>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type="dxa" w:w="1420"/>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type="dxa" w:w="1982"/>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p>
        </w:tc>
        <w:tc>
          <w:tcPr>
            <w:tcW w:type="dxa" w:w="1415"/>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tc>
          <w:tcPr>
            <w:vAlign w:val="center"/>
          </w:tcPr>
          <w:p>
            <w:pPr>
              <w:jc w:val="center"/>
            </w:pPr>
            <w:r>
              <w:rPr>
                <w:color w:val="000000"/>
                <w:sz w:val="24"/>
              </w:rPr>
              <w:t>1</w:t>
            </w:r>
          </w:p>
        </w:tc>
        <w:tc>
          <w:tcPr>
            <w:vAlign w:val="center"/>
          </w:tcPr>
          <w:p>
            <w:pPr>
              <w:jc w:val="center"/>
            </w:pPr>
            <w:r>
              <w:rPr>
                <w:color w:val="000000"/>
                <w:sz w:val="24"/>
              </w:rPr>
              <w:t>018007</w:t>
            </w:r>
          </w:p>
        </w:tc>
        <w:tc>
          <w:tcPr>
            <w:vAlign w:val="center"/>
          </w:tcPr>
          <w:p>
            <w:pPr>
              <w:jc w:val="center"/>
            </w:pPr>
            <w:r>
              <w:rPr>
                <w:color w:val="000000"/>
                <w:sz w:val="24"/>
              </w:rPr>
              <w:t>国开1801</w:t>
            </w:r>
          </w:p>
        </w:tc>
        <w:tc>
          <w:tcPr>
            <w:vAlign w:val="center"/>
          </w:tcPr>
          <w:p>
            <w:pPr>
              <w:jc w:val="right"/>
            </w:pPr>
            <w:r>
              <w:rPr>
                <w:color w:val="000000"/>
                <w:sz w:val="24"/>
              </w:rPr>
              <w:t>260,000</w:t>
            </w:r>
          </w:p>
        </w:tc>
        <w:tc>
          <w:tcPr>
            <w:vAlign w:val="center"/>
          </w:tcPr>
          <w:p>
            <w:pPr>
              <w:jc w:val="right"/>
            </w:pPr>
            <w:r>
              <w:rPr>
                <w:color w:val="000000"/>
                <w:sz w:val="24"/>
              </w:rPr>
              <w:t>26,312,000.00</w:t>
            </w:r>
          </w:p>
        </w:tc>
        <w:tc>
          <w:tcPr>
            <w:vAlign w:val="center"/>
          </w:tcPr>
          <w:p>
            <w:pPr>
              <w:jc w:val="right"/>
            </w:pPr>
            <w:r>
              <w:rPr>
                <w:color w:val="000000"/>
                <w:sz w:val="24"/>
              </w:rPr>
              <w:t>4.93</w:t>
            </w:r>
          </w:p>
        </w:tc>
      </w:tr>
      <w:tr>
        <w:tc>
          <w:tcPr>
            <w:vAlign w:val="center"/>
          </w:tcPr>
          <w:p>
            <w:pPr>
              <w:jc w:val="center"/>
            </w:pPr>
            <w:r>
              <w:rPr>
                <w:color w:val="000000"/>
                <w:sz w:val="24"/>
              </w:rPr>
              <w:t>2</w:t>
            </w:r>
          </w:p>
        </w:tc>
        <w:tc>
          <w:tcPr>
            <w:vAlign w:val="center"/>
          </w:tcPr>
          <w:p>
            <w:pPr>
              <w:jc w:val="center"/>
            </w:pPr>
            <w:r>
              <w:rPr>
                <w:color w:val="000000"/>
                <w:sz w:val="24"/>
              </w:rPr>
              <w:t>101800696</w:t>
            </w:r>
          </w:p>
        </w:tc>
        <w:tc>
          <w:tcPr>
            <w:vAlign w:val="center"/>
          </w:tcPr>
          <w:p>
            <w:pPr>
              <w:jc w:val="center"/>
            </w:pPr>
            <w:r>
              <w:rPr>
                <w:color w:val="000000"/>
                <w:sz w:val="24"/>
              </w:rPr>
              <w:t>18闽投MTN002</w:t>
            </w:r>
          </w:p>
        </w:tc>
        <w:tc>
          <w:tcPr>
            <w:vAlign w:val="center"/>
          </w:tcPr>
          <w:p>
            <w:pPr>
              <w:jc w:val="right"/>
            </w:pPr>
            <w:r>
              <w:rPr>
                <w:color w:val="000000"/>
                <w:sz w:val="24"/>
              </w:rPr>
              <w:t>200,000</w:t>
            </w:r>
          </w:p>
        </w:tc>
        <w:tc>
          <w:tcPr>
            <w:vAlign w:val="center"/>
          </w:tcPr>
          <w:p>
            <w:pPr>
              <w:jc w:val="right"/>
            </w:pPr>
            <w:r>
              <w:rPr>
                <w:color w:val="000000"/>
                <w:sz w:val="24"/>
              </w:rPr>
              <w:t>20,582,000.00</w:t>
            </w:r>
          </w:p>
        </w:tc>
        <w:tc>
          <w:tcPr>
            <w:vAlign w:val="center"/>
          </w:tcPr>
          <w:p>
            <w:pPr>
              <w:jc w:val="right"/>
            </w:pPr>
            <w:r>
              <w:rPr>
                <w:color w:val="000000"/>
                <w:sz w:val="24"/>
              </w:rPr>
              <w:t>3.86</w:t>
            </w:r>
          </w:p>
        </w:tc>
      </w:tr>
      <w:tr>
        <w:tc>
          <w:tcPr>
            <w:vAlign w:val="center"/>
          </w:tcPr>
          <w:p>
            <w:pPr>
              <w:jc w:val="center"/>
            </w:pPr>
            <w:r>
              <w:rPr>
                <w:color w:val="000000"/>
                <w:sz w:val="24"/>
              </w:rPr>
              <w:t>3</w:t>
            </w:r>
          </w:p>
        </w:tc>
        <w:tc>
          <w:tcPr>
            <w:vAlign w:val="center"/>
          </w:tcPr>
          <w:p>
            <w:pPr>
              <w:jc w:val="center"/>
            </w:pPr>
            <w:r>
              <w:rPr>
                <w:color w:val="000000"/>
                <w:sz w:val="24"/>
              </w:rPr>
              <w:t>143647</w:t>
            </w:r>
          </w:p>
        </w:tc>
        <w:tc>
          <w:tcPr>
            <w:vAlign w:val="center"/>
          </w:tcPr>
          <w:p>
            <w:pPr>
              <w:jc w:val="center"/>
            </w:pPr>
            <w:r>
              <w:rPr>
                <w:color w:val="000000"/>
                <w:sz w:val="24"/>
              </w:rPr>
              <w:t>18电投03</w:t>
            </w:r>
          </w:p>
        </w:tc>
        <w:tc>
          <w:tcPr>
            <w:vAlign w:val="center"/>
          </w:tcPr>
          <w:p>
            <w:pPr>
              <w:jc w:val="right"/>
            </w:pPr>
            <w:r>
              <w:rPr>
                <w:color w:val="000000"/>
                <w:sz w:val="24"/>
              </w:rPr>
              <w:t>200,000</w:t>
            </w:r>
          </w:p>
        </w:tc>
        <w:tc>
          <w:tcPr>
            <w:vAlign w:val="center"/>
          </w:tcPr>
          <w:p>
            <w:pPr>
              <w:jc w:val="right"/>
            </w:pPr>
            <w:r>
              <w:rPr>
                <w:color w:val="000000"/>
                <w:sz w:val="24"/>
              </w:rPr>
              <w:t>20,460,000.00</w:t>
            </w:r>
          </w:p>
        </w:tc>
        <w:tc>
          <w:tcPr>
            <w:vAlign w:val="center"/>
          </w:tcPr>
          <w:p>
            <w:pPr>
              <w:jc w:val="right"/>
            </w:pPr>
            <w:r>
              <w:rPr>
                <w:color w:val="000000"/>
                <w:sz w:val="24"/>
              </w:rPr>
              <w:t>3.84</w:t>
            </w:r>
          </w:p>
        </w:tc>
      </w:tr>
      <w:tr>
        <w:tc>
          <w:tcPr>
            <w:vAlign w:val="center"/>
          </w:tcPr>
          <w:p>
            <w:pPr>
              <w:jc w:val="center"/>
            </w:pPr>
            <w:r>
              <w:rPr>
                <w:color w:val="000000"/>
                <w:sz w:val="24"/>
              </w:rPr>
              <w:t>4</w:t>
            </w:r>
          </w:p>
        </w:tc>
        <w:tc>
          <w:tcPr>
            <w:vAlign w:val="center"/>
          </w:tcPr>
          <w:p>
            <w:pPr>
              <w:jc w:val="center"/>
            </w:pPr>
            <w:r>
              <w:rPr>
                <w:color w:val="000000"/>
                <w:sz w:val="24"/>
              </w:rPr>
              <w:t>143662</w:t>
            </w:r>
          </w:p>
        </w:tc>
        <w:tc>
          <w:tcPr>
            <w:vAlign w:val="center"/>
          </w:tcPr>
          <w:p>
            <w:pPr>
              <w:jc w:val="center"/>
            </w:pPr>
            <w:r>
              <w:rPr>
                <w:color w:val="000000"/>
                <w:sz w:val="24"/>
              </w:rPr>
              <w:t>18国电02</w:t>
            </w:r>
          </w:p>
        </w:tc>
        <w:tc>
          <w:tcPr>
            <w:vAlign w:val="center"/>
          </w:tcPr>
          <w:p>
            <w:pPr>
              <w:jc w:val="right"/>
            </w:pPr>
            <w:r>
              <w:rPr>
                <w:color w:val="000000"/>
                <w:sz w:val="24"/>
              </w:rPr>
              <w:t>200,000</w:t>
            </w:r>
          </w:p>
        </w:tc>
        <w:tc>
          <w:tcPr>
            <w:vAlign w:val="center"/>
          </w:tcPr>
          <w:p>
            <w:pPr>
              <w:jc w:val="right"/>
            </w:pPr>
            <w:r>
              <w:rPr>
                <w:color w:val="000000"/>
                <w:sz w:val="24"/>
              </w:rPr>
              <w:t>20,454,000.00</w:t>
            </w:r>
          </w:p>
        </w:tc>
        <w:tc>
          <w:tcPr>
            <w:vAlign w:val="center"/>
          </w:tcPr>
          <w:p>
            <w:pPr>
              <w:jc w:val="right"/>
            </w:pPr>
            <w:r>
              <w:rPr>
                <w:color w:val="000000"/>
                <w:sz w:val="24"/>
              </w:rPr>
              <w:t>3.84</w:t>
            </w:r>
          </w:p>
        </w:tc>
      </w:tr>
      <w:tr>
        <w:tc>
          <w:tcPr>
            <w:vAlign w:val="center"/>
          </w:tcPr>
          <w:p>
            <w:pPr>
              <w:jc w:val="center"/>
            </w:pPr>
            <w:r>
              <w:rPr>
                <w:color w:val="000000"/>
                <w:sz w:val="24"/>
              </w:rPr>
              <w:t>5</w:t>
            </w:r>
          </w:p>
        </w:tc>
        <w:tc>
          <w:tcPr>
            <w:vAlign w:val="center"/>
          </w:tcPr>
          <w:p>
            <w:pPr>
              <w:jc w:val="center"/>
            </w:pPr>
            <w:r>
              <w:rPr>
                <w:color w:val="000000"/>
                <w:sz w:val="24"/>
              </w:rPr>
              <w:t>101800784</w:t>
            </w:r>
          </w:p>
        </w:tc>
        <w:tc>
          <w:tcPr>
            <w:vAlign w:val="center"/>
          </w:tcPr>
          <w:p>
            <w:pPr>
              <w:jc w:val="center"/>
            </w:pPr>
            <w:r>
              <w:rPr>
                <w:color w:val="000000"/>
                <w:sz w:val="24"/>
              </w:rPr>
              <w:t>18光明MTN001</w:t>
            </w:r>
          </w:p>
        </w:tc>
        <w:tc>
          <w:tcPr>
            <w:vAlign w:val="center"/>
          </w:tcPr>
          <w:p>
            <w:pPr>
              <w:jc w:val="right"/>
            </w:pPr>
            <w:r>
              <w:rPr>
                <w:color w:val="000000"/>
                <w:sz w:val="24"/>
              </w:rPr>
              <w:t>200,000</w:t>
            </w:r>
          </w:p>
        </w:tc>
        <w:tc>
          <w:tcPr>
            <w:vAlign w:val="center"/>
          </w:tcPr>
          <w:p>
            <w:pPr>
              <w:jc w:val="right"/>
            </w:pPr>
            <w:r>
              <w:rPr>
                <w:color w:val="000000"/>
                <w:sz w:val="24"/>
              </w:rPr>
              <w:t>20,384,000.00</w:t>
            </w:r>
          </w:p>
        </w:tc>
        <w:tc>
          <w:tcPr>
            <w:vAlign w:val="center"/>
          </w:tcPr>
          <w:p>
            <w:pPr>
              <w:jc w:val="right"/>
            </w:pPr>
            <w:r>
              <w:rPr>
                <w:color w:val="000000"/>
                <w:sz w:val="24"/>
              </w:rPr>
              <w:t>3.82</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P="007C14DF" w:rsidR="009238DB" w:rsidRDefault="00C260A2" w:rsidRPr="007F52FA">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P="007C14DF" w:rsidR="00680BCE" w:rsidRDefault="00680BCE" w:rsidRPr="007F52FA">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P="007C14DF" w:rsidR="00680BCE" w:rsidRDefault="00680BCE" w:rsidRPr="007F52FA">
      <w:pPr>
        <w:autoSpaceDE w:val="0"/>
        <w:autoSpaceDN w:val="0"/>
        <w:adjustRightInd w:val="0"/>
        <w:spacing w:before="29" w:line="288" w:lineRule="auto"/>
        <w:ind w:firstLine="120" w:firstLineChars="50"/>
        <w:jc w:val="left"/>
        <w:rPr>
          <w:sz w:val="24"/>
        </w:rPr>
      </w:pPr>
      <w:r w:rsidRPr="007F52FA">
        <w:rPr>
          <w:sz w:val="24"/>
        </w:rPr>
        <w:t>本基金本报告期末未持有贵金属。</w:t>
      </w:r>
    </w:p>
    <w:p w:rsidP="007C14DF" w:rsidR="00680BCE" w:rsidRDefault="00680BCE"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A621E1" w:rsidRPr="007F52FA">
      <w:pPr>
        <w:autoSpaceDE w:val="0"/>
        <w:autoSpaceDN w:val="0"/>
        <w:adjustRightInd w:val="0"/>
        <w:spacing w:before="29" w:line="288" w:lineRule="auto"/>
        <w:jc w:val="left"/>
        <w:rPr>
          <w:b/>
          <w:color w:val="000000"/>
          <w:kern w:val="0"/>
          <w:sz w:val="24"/>
        </w:rPr>
      </w:pPr>
      <w:r w:rsidRPr="007F52FA">
        <w:rPr>
          <w:b/>
          <w:color w:val="000000"/>
          <w:kern w:val="0"/>
          <w:sz w:val="24"/>
        </w:rPr>
        <w:t/>
      </w:r>
      <w:r w:rsidR="001D5CD0" w:rsidRPr="007F52FA">
        <w:rPr>
          <w:b/>
          <w:color w:val="000000"/>
          <w:kern w:val="0"/>
          <w:sz w:val="24"/>
        </w:rPr>
        <w:t>5</w:t>
      </w:r>
      <w:r w:rsidR="009238DB" w:rsidRPr="007F52FA">
        <w:rPr>
          <w:b/>
          <w:color w:val="000000"/>
          <w:kern w:val="0"/>
          <w:sz w:val="24"/>
        </w:rPr>
        <w:t>.</w:t>
      </w:r>
      <w:r w:rsidR="001D5CD0" w:rsidRPr="007F52FA">
        <w:rPr>
          <w:b/>
          <w:color w:val="000000"/>
          <w:kern w:val="0"/>
          <w:sz w:val="24"/>
        </w:rPr>
        <w:t/>
      </w:r>
      <w:r w:rsidR="00680BCE" w:rsidRPr="007F52FA">
        <w:rPr>
          <w:b/>
          <w:color w:val="000000"/>
          <w:kern w:val="0"/>
          <w:sz w:val="24"/>
        </w:rPr>
        <w:t/>
      </w:r>
      <w:r w:rsidR="001D5CD0"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P="007C14DF" w:rsidR="00C260A2" w:rsidRDefault="00C260A2" w:rsidRPr="007F52FA">
      <w:pPr>
        <w:autoSpaceDE w:val="0"/>
        <w:autoSpaceDN w:val="0"/>
        <w:adjustRightInd w:val="0"/>
        <w:spacing w:before="29" w:line="288" w:lineRule="auto"/>
        <w:jc w:val="left"/>
        <w:rPr>
          <w:color w:val="000000"/>
          <w:sz w:val="24"/>
        </w:rPr>
      </w:pPr>
      <w:r w:rsidRPr="007F52FA">
        <w:rPr>
          <w:color w:val="000000"/>
          <w:sz w:val="24"/>
        </w:rPr>
        <w:t/>
      </w:r>
      <w:r w:rsidR="00407F66" w:rsidRPr="007F52FA">
        <w:rPr>
          <w:color w:val="000000"/>
          <w:sz w:val="24"/>
        </w:rPr>
        <w:t/>
      </w:r>
      <w:r w:rsidRPr="007F52FA">
        <w:rPr>
          <w:color w:val="000000"/>
          <w:sz w:val="24"/>
        </w:rPr>
        <w:t>本基金本报告期末未持有权证。</w:t>
      </w:r>
    </w:p>
    <w:p w:rsidP="007C14DF" w:rsidR="001D5CD0" w:rsidRDefault="001D5CD0" w:rsidRPr="007F52FA">
      <w:pPr>
        <w:autoSpaceDE w:val="0"/>
        <w:autoSpaceDN w:val="0"/>
        <w:adjustRightInd w:val="0"/>
        <w:spacing w:before="29" w:line="288" w:lineRule="auto"/>
        <w:jc w:val="left"/>
        <w:rPr>
          <w:rFonts w:eastAsiaTheme="minorEastAsia"/>
          <w:color w:val="000000"/>
          <w:kern w:val="0"/>
          <w:sz w:val="24"/>
        </w:rPr>
      </w:pPr>
    </w:p>
    <w:p w:rsidP="007C14DF" w:rsidR="001D5CD0" w:rsidRDefault="001D5CD0" w:rsidRPr="007F52FA">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P="007C14DF" w:rsidR="001D5CD0" w:rsidRDefault="001D5CD0" w:rsidRPr="007F52FA">
      <w:pPr>
        <w:autoSpaceDE w:val="0"/>
        <w:autoSpaceDN w:val="0"/>
        <w:adjustRightInd w:val="0"/>
        <w:spacing w:before="29" w:line="288" w:lineRule="auto"/>
        <w:jc w:val="left"/>
        <w:rPr>
          <w:sz w:val="24"/>
        </w:rPr>
      </w:pPr>
      <w:r w:rsidRPr="007F52FA">
        <w:rPr>
          <w:sz w:val="24"/>
        </w:rPr>
        <w:t>本基金本报告期末未持有股指期货。</w:t>
      </w:r>
    </w:p>
    <w:p w:rsidP="007C14DF" w:rsidR="001D5CD0" w:rsidRDefault="001D5CD0" w:rsidRPr="007F52FA">
      <w:pPr>
        <w:autoSpaceDE w:val="0"/>
        <w:autoSpaceDN w:val="0"/>
        <w:adjustRightInd w:val="0"/>
        <w:spacing w:before="29" w:line="288" w:lineRule="auto"/>
        <w:jc w:val="left"/>
        <w:rPr>
          <w:b/>
          <w:sz w:val="24"/>
        </w:rPr>
      </w:pPr>
    </w:p>
    <w:p w:rsidP="007C14DF" w:rsidR="00A7062E" w:rsidRDefault="001D5CD0" w:rsidRPr="007F52FA">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P="007C14DF" w:rsidR="001D5CD0" w:rsidRDefault="001D5CD0" w:rsidRPr="007F52FA">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P="007C14DF" w:rsidR="00DB56EC" w:rsidRDefault="00DB56EC" w:rsidRPr="007F52FA">
      <w:pPr>
        <w:autoSpaceDE w:val="0"/>
        <w:autoSpaceDN w:val="0"/>
        <w:adjustRightInd w:val="0"/>
        <w:spacing w:before="29" w:line="288" w:lineRule="auto"/>
        <w:jc w:val="left"/>
        <w:rPr>
          <w:rFonts w:eastAsiaTheme="minorEastAsia"/>
          <w:sz w:val="24"/>
        </w:rPr>
      </w:pPr>
    </w:p>
    <w:p w:rsidP="007C14DF" w:rsidR="001D5CD0" w:rsidRDefault="001D5CD0" w:rsidRPr="007F52FA">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P="00A0678E" w:rsidR="00384E65" w:rsidRDefault="00384E65" w:rsidRPr="00384E65">
      <w:pPr>
        <w:autoSpaceDE w:val="0"/>
        <w:autoSpaceDN w:val="0"/>
        <w:adjustRightInd w:val="0"/>
        <w:spacing w:before="29" w:line="288" w:lineRule="auto"/>
        <w:rPr>
          <w:kern w:val="0"/>
          <w:sz w:val="24"/>
        </w:rPr>
      </w:pPr>
      <w:r w:rsidRPr="00384E65">
        <w:rPr>
          <w:kern w:val="0"/>
          <w:sz w:val="24"/>
        </w:rPr>
        <w:t>5.11.1报告期内本基金投资的前十名证券的发行主体未被监管部门立案调查，在本报告编制日前一年内本基金投资的前十名证券的发行主体未受到公开谴责和处罚。</w:t>
      </w:r>
    </w:p>
    <w:p w:rsidP="00A0678E" w:rsidR="00384E65" w:rsidRDefault="00384E65" w:rsidRPr="00384E65">
      <w:pPr>
        <w:autoSpaceDE w:val="0"/>
        <w:autoSpaceDN w:val="0"/>
        <w:adjustRightInd w:val="0"/>
        <w:spacing w:before="29" w:line="288" w:lineRule="auto"/>
        <w:rPr>
          <w:kern w:val="0"/>
          <w:sz w:val="24"/>
        </w:rPr>
      </w:pPr>
      <w:r w:rsidRPr="00384E65">
        <w:rPr>
          <w:kern w:val="0"/>
          <w:sz w:val="24"/>
        </w:rPr>
        <w:t>5.11.2本基金投资的前十名股票中，没有超出基金合同规定的备选股票库之外的股票。</w:t>
      </w:r>
    </w:p>
    <w:p w:rsidP="007C14DF" w:rsidR="001D5CD0" w:rsidRDefault="001D5CD0">
      <w:pPr>
        <w:autoSpaceDE w:val="0"/>
        <w:autoSpaceDN w:val="0"/>
        <w:adjustRightInd w:val="0"/>
        <w:spacing w:before="29" w:line="288" w:lineRule="auto"/>
        <w:rPr>
          <w:kern w:val="0"/>
          <w:sz w:val="24"/>
        </w:rPr>
      </w:pPr>
      <w:r w:rsidRPr="007F52FA">
        <w:rPr>
          <w:kern w:val="0"/>
          <w:sz w:val="24"/>
        </w:rPr>
        <w:t>5.11.3</w:t>
      </w:r>
      <w:r w:rsidR="008F4965">
        <w:rPr>
          <w:rFonts w:hint="eastAsia"/>
          <w:kern w:val="0"/>
          <w:sz w:val="24"/>
        </w:rPr>
        <w:t>期末</w:t>
      </w:r>
      <w:r w:rsidR="00E84F32" w:rsidRPr="007F52FA">
        <w:rPr>
          <w:kern w:val="0"/>
          <w:sz w:val="24"/>
        </w:rPr>
        <w:t>其他</w:t>
      </w:r>
      <w:r w:rsidR="008F4965">
        <w:rPr>
          <w:rFonts w:hint="eastAsia"/>
          <w:kern w:val="0"/>
          <w:sz w:val="24"/>
        </w:rPr>
        <w:t>各项</w:t>
      </w:r>
      <w:r w:rsidRPr="007F52FA">
        <w:rPr>
          <w:kern w:val="0"/>
          <w:sz w:val="24"/>
        </w:rPr>
        <w:t>资产构成</w:t>
      </w:r>
    </w:p>
    <w:p w:rsidP="006B32A4" w:rsidR="006B32A4" w:rsidRDefault="00C33577" w:rsidRPr="007F52FA">
      <w:pPr>
        <w:autoSpaceDE w:val="0"/>
        <w:autoSpaceDN w:val="0"/>
        <w:adjustRightInd w:val="0"/>
        <w:spacing w:before="29" w:line="288" w:lineRule="auto"/>
        <w:jc w:val="right"/>
        <w:rPr>
          <w:kern w:val="0"/>
          <w:sz w:val="24"/>
        </w:rPr>
      </w:pPr>
      <w:r w:rsidRPr="00C33577">
        <w:rPr>
          <w:rFonts w:hint="eastAsia"/>
          <w:kern w:val="0"/>
          <w:sz w:val="24"/>
        </w:rPr>
        <w:t/>
      </w:r>
      <w:r w:rsidRPr="00C33577">
        <w:rPr>
          <w:rFonts w:hint="eastAsia"/>
          <w:kern w:val="0"/>
          <w:sz w:val="24"/>
        </w:rPr>
        <w:t>金额单位：人民币元</w:t>
      </w:r>
    </w:p>
    <w:tbl>
      <w:tblPr>
        <w:tblStyle w:val="af6"/>
        <w:tblW w:type="dxa" w:w="8868"/>
        <w:jc w:val="center"/>
        <w:tblLook w:firstColumn="1" w:firstRow="1" w:lastColumn="0" w:lastRow="0" w:noHBand="0" w:noVBand="1" w:val="04A0"/>
      </w:tblPr>
      <w:tblGrid>
        <w:gridCol w:w="1260"/>
        <w:gridCol w:w="2706"/>
        <w:gridCol w:w="4902"/>
      </w:tblGrid>
      <w:tr w:rsidR="001D5CD0" w:rsidRPr="007F52FA" w:rsidTr="006C3EE0">
        <w:trPr>
          <w:trHeight w:val="499"/>
          <w:jc w:val="center"/>
        </w:trPr>
        <w:tc>
          <w:tcPr>
            <w:tcW w:type="dxa" w:w="1260"/>
            <w:vAlign w:val="center"/>
          </w:tcPr>
          <w:p w:rsidP="007C14DF" w:rsidR="001D5CD0" w:rsidRDefault="001D5CD0" w:rsidRPr="007F52FA">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type="dxa" w:w="2818"/>
            <w:vAlign w:val="center"/>
          </w:tcPr>
          <w:p w:rsidP="007C14DF" w:rsidR="001D5CD0" w:rsidRDefault="001D5CD0" w:rsidRPr="007F52FA">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type="dxa" w:w="4908"/>
            <w:vAlign w:val="center"/>
          </w:tcPr>
          <w:p w:rsidP="007C14DF" w:rsidR="001D5CD0" w:rsidRDefault="001D5CD0" w:rsidRPr="007F52FA">
            <w:pPr>
              <w:autoSpaceDE w:val="0"/>
              <w:autoSpaceDN w:val="0"/>
              <w:adjustRightInd w:val="0"/>
              <w:spacing w:before="29" w:line="288" w:lineRule="auto"/>
              <w:ind w:left="17"/>
              <w:jc w:val="center"/>
              <w:rPr>
                <w:color w:val="000000"/>
                <w:kern w:val="0"/>
                <w:sz w:val="24"/>
              </w:rPr>
            </w:pPr>
            <w:r w:rsidRPr="007F52FA">
              <w:rPr>
                <w:color w:val="000000"/>
                <w:kern w:val="0"/>
                <w:sz w:val="24"/>
              </w:rPr>
              <w:t>金额</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80,489.15</w:t>
            </w:r>
          </w:p>
        </w:tc>
      </w:tr>
      <w:tr w:rsidR="001D5CD0" w:rsidRPr="007F52FA" w:rsidTr="006C3EE0">
        <w:trPr>
          <w:trHeight w:val="531"/>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lastRenderedPageBreak/>
              <w:t>2</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1,978,751.68</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3</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4</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5,926,014.12</w:t>
            </w:r>
          </w:p>
        </w:tc>
      </w:tr>
      <w:tr w:rsidR="001D5CD0" w:rsidRPr="007F52FA" w:rsidTr="006C3EE0">
        <w:trPr>
          <w:trHeight w:val="499"/>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5</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507,012.12</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6</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7</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8</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9</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8,492,267.07</w:t>
            </w:r>
          </w:p>
        </w:tc>
      </w:tr>
    </w:tbl>
    <w:p w:rsidP="007C14DF" w:rsidR="001D5CD0" w:rsidRDefault="001D5CD0" w:rsidRPr="007F52FA">
      <w:pPr>
        <w:autoSpaceDE w:val="0"/>
        <w:autoSpaceDN w:val="0"/>
        <w:adjustRightInd w:val="0"/>
        <w:spacing w:before="29" w:line="288" w:lineRule="auto"/>
        <w:jc w:val="left"/>
        <w:rPr>
          <w:sz w:val="24"/>
        </w:rPr>
      </w:pPr>
    </w:p>
    <w:p w:rsidP="007C14DF" w:rsidR="001D5CD0" w:rsidRDefault="001D5CD0" w:rsidRPr="00143E9C">
      <w:pPr>
        <w:autoSpaceDE w:val="0"/>
        <w:autoSpaceDN w:val="0"/>
        <w:adjustRightInd w:val="0"/>
        <w:spacing w:before="29" w:line="288" w:lineRule="auto"/>
        <w:jc w:val="left"/>
        <w:rPr>
          <w:b/>
          <w:kern w:val="0"/>
          <w:sz w:val="24"/>
        </w:rPr>
      </w:pPr>
      <w:r w:rsidRPr="00143E9C">
        <w:rPr>
          <w:b/>
          <w:kern w:val="0"/>
          <w:sz w:val="24"/>
        </w:rPr>
        <w:t>5.11.4</w:t>
      </w:r>
      <w:r w:rsidRPr="00143E9C">
        <w:rPr>
          <w:b/>
          <w:kern w:val="0"/>
          <w:sz w:val="24"/>
        </w:rPr>
        <w:t>期末持有的处于转股期的可转换债券明细</w:t>
      </w:r>
    </w:p>
    <w:p w:rsidP="007C14DF" w:rsidR="001D5CD0" w:rsidRDefault="001D5CD0" w:rsidRPr="007F52FA">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P="007C14DF" w:rsidR="001D5CD0" w:rsidRDefault="001D5CD0" w:rsidRPr="00143E9C">
      <w:pPr>
        <w:autoSpaceDE w:val="0"/>
        <w:autoSpaceDN w:val="0"/>
        <w:adjustRightInd w:val="0"/>
        <w:spacing w:before="29" w:line="288" w:lineRule="auto"/>
        <w:jc w:val="left"/>
        <w:rPr>
          <w:rFonts w:eastAsiaTheme="minorEastAsia"/>
          <w:b/>
          <w:bCs/>
          <w:sz w:val="24"/>
        </w:rPr>
      </w:pPr>
      <w:r w:rsidRPr="00143E9C">
        <w:rPr>
          <w:rFonts w:eastAsiaTheme="minorEastAsia"/>
          <w:b/>
          <w:kern w:val="0"/>
          <w:sz w:val="24"/>
        </w:rPr>
        <w:t>5.11.5</w:t>
      </w:r>
      <w:r w:rsidRPr="00143E9C">
        <w:rPr>
          <w:rFonts w:eastAsiaTheme="minorEastAsia"/>
          <w:b/>
          <w:bCs/>
          <w:sz w:val="24"/>
        </w:rPr>
        <w:t>期末前十名股票中存在流通受限情况的说明</w:t>
      </w:r>
    </w:p>
    <w:p w:rsidP="007C14DF" w:rsidR="001D5CD0" w:rsidRDefault="001D5CD0" w:rsidRPr="007F52FA">
      <w:pPr>
        <w:autoSpaceDE w:val="0"/>
        <w:autoSpaceDN w:val="0"/>
        <w:adjustRightInd w:val="0"/>
        <w:spacing w:before="29" w:line="288" w:lineRule="auto"/>
        <w:jc w:val="left"/>
        <w:rPr>
          <w:rFonts w:eastAsiaTheme="minorEastAsia"/>
          <w:sz w:val="24"/>
        </w:rPr>
      </w:pPr>
      <w:r w:rsidRPr="007F52FA">
        <w:rPr>
          <w:rFonts w:eastAsiaTheme="minorEastAsia"/>
          <w:sz w:val="24"/>
        </w:rPr>
        <w:lastRenderedPageBreak/>
        <w:t>本基金本报告期末前十名股票中不存在流通受限情况。</w:t>
      </w:r>
    </w:p>
    <w:p w:rsidP="007C14DF" w:rsidR="001D5CD0" w:rsidRDefault="001D5CD0" w:rsidRPr="00901A22">
      <w:pPr>
        <w:spacing w:before="29" w:line="288" w:lineRule="auto"/>
        <w:rPr>
          <w:rFonts w:eastAsiaTheme="minorEastAsia"/>
          <w:b/>
          <w:color w:val="000000"/>
          <w:kern w:val="0"/>
          <w:sz w:val="24"/>
        </w:rPr>
      </w:pPr>
      <w:r w:rsidRPr="00901A22">
        <w:rPr>
          <w:rFonts w:eastAsiaTheme="minorEastAsia"/>
          <w:b/>
          <w:color w:val="000000"/>
          <w:kern w:val="0"/>
          <w:sz w:val="24"/>
        </w:rPr>
        <w:t/>
      </w:r>
      <w:r w:rsidRPr="00901A22">
        <w:rPr>
          <w:rFonts w:eastAsiaTheme="minorEastAsia"/>
          <w:b/>
          <w:kern w:val="0"/>
          <w:sz w:val="24"/>
        </w:rPr>
        <w:t>5.11.6</w:t>
      </w:r>
      <w:r w:rsidRPr="00901A22">
        <w:rPr>
          <w:rFonts w:eastAsiaTheme="minorEastAsia"/>
          <w:b/>
          <w:color w:val="000000"/>
          <w:kern w:val="0"/>
          <w:sz w:val="24"/>
        </w:rPr>
        <w:t>投资组合报告附注的其他文字描述部分</w:t>
      </w:r>
    </w:p>
    <w:p w:rsidP="00A0678E" w:rsidR="001D5CD0" w:rsidRDefault="001D5CD0" w:rsidRPr="007F52FA">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P="007C14DF" w:rsidR="00EB27DE" w:rsidRDefault="00EB27DE" w:rsidRPr="007F52FA">
      <w:pPr>
        <w:spacing w:before="29" w:line="288" w:lineRule="auto"/>
        <w:rPr>
          <w:rFonts w:eastAsiaTheme="minorEastAsia"/>
          <w:color w:val="000000"/>
          <w:sz w:val="24"/>
        </w:rPr>
      </w:pPr>
    </w:p>
    <w:p w:rsidP="000A2988" w:rsidR="009238DB" w:rsidRDefault="00C51B4E" w:rsidRPr="007F52FA">
      <w:pPr>
        <w:pStyle w:val="1"/>
        <w:spacing w:after="312" w:afterLines="100" w:before="312" w:beforeLines="100" w:line="288" w:lineRule="auto"/>
        <w:jc w:val="center"/>
        <w:rPr>
          <w:rFonts w:eastAsiaTheme="minorEastAsia"/>
          <w:color w:val="000000"/>
          <w:kern w:val="0"/>
          <w:sz w:val="24"/>
          <w:szCs w:val="24"/>
        </w:rPr>
      </w:pPr>
      <w:r w:rsidRPr="00C51B4E">
        <w:rPr>
          <w:rFonts w:eastAsiaTheme="minorEastAsia"/>
          <w:color w:themeColor="text1" w:val="000000"/>
          <w:kern w:val="0"/>
          <w:sz w:val="21"/>
          <w:szCs w:val="21"/>
        </w:rPr>
        <w:t>§6</w:t>
      </w:r>
      <w:r w:rsidRPr="00C51B4E">
        <w:rPr>
          <w:rFonts w:eastAsiaTheme="minorEastAsia" w:hint="eastAsia"/>
          <w:color w:themeColor="text1" w:val="000000"/>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P="007C14DF" w:rsidR="009238DB" w:rsidRDefault="009238DB" w:rsidRPr="007F52FA">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type="dxa" w:w="8868"/>
        <w:jc w:val="center"/>
        <w:tblLayout w:type="fixed"/>
        <w:tblLook w:firstColumn="0" w:firstRow="0" w:lastColumn="0" w:lastRow="0" w:noHBand="0" w:noVBand="0" w:val="0000"/>
      </w:tblPr>
      <w:tblGrid>
        <w:gridCol w:w="4006"/>
        <w:gridCol w:w="2431"/>
        <w:gridCol w:w="2431"/>
      </w:tblGrid>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type="dxa" w:w="2367"/>
            <w:tcBorders>
              <w:top w:color="000000" w:space="0" w:sz="8" w:val="single"/>
              <w:left w:color="000000" w:space="0" w:sz="8" w:val="single"/>
              <w:bottom w:color="000000" w:space="0" w:sz="8" w:val="single"/>
              <w:right w:color="000000" w:space="0" w:sz="8" w:val="single"/>
            </w:tcBorders>
            <w:vAlign w:val="center"/>
          </w:tcPr>
          <w:p w:rsidP="00690865" w:rsidR="00936D40" w:rsidRDefault="00936D40" w:rsidRPr="007F52FA">
            <w:pPr>
              <w:autoSpaceDE w:val="0"/>
              <w:autoSpaceDN w:val="0"/>
              <w:adjustRightInd w:val="0"/>
              <w:spacing w:before="29" w:line="288" w:lineRule="auto"/>
              <w:ind w:left="17"/>
              <w:jc w:val="left"/>
              <w:rPr>
                <w:rFonts w:eastAsiaTheme="minorEastAsia"/>
                <w:color w:val="000000"/>
                <w:sz w:val="24"/>
              </w:rPr>
            </w:pPr>
            <w:r w:rsidRPr="007F52FA">
              <w:rPr>
                <w:rFonts w:eastAsiaTheme="minorEastAsia"/>
                <w:color w:val="000000"/>
                <w:kern w:val="0"/>
                <w:sz w:val="24"/>
              </w:rPr>
              <w:t/>
            </w:r>
            <w:r w:rsidRPr="007F52FA">
              <w:rPr>
                <w:rFonts w:eastAsiaTheme="minorEastAsia"/>
                <w:sz w:val="24"/>
              </w:rPr>
              <w:t/>
            </w:r>
            <w:r w:rsidR="0042785F" w:rsidRPr="007F52FA">
              <w:rPr>
                <w:rFonts w:eastAsiaTheme="minorEastAsia"/>
                <w:sz w:val="24"/>
              </w:rPr>
              <w:t>交银新回报灵活配置混合A</w:t>
            </w:r>
          </w:p>
        </w:tc>
        <w:tc>
          <w:tcPr>
            <w:tcW w:type="dxa" w:w="2367"/>
            <w:tcBorders>
              <w:top w:color="000000" w:space="0" w:sz="8" w:val="single"/>
              <w:left w:color="000000" w:space="0" w:sz="8" w:val="single"/>
              <w:bottom w:color="000000" w:space="0" w:sz="8" w:val="single"/>
              <w:right w:color="000000" w:space="0" w:sz="8" w:val="single"/>
            </w:tcBorders>
            <w:vAlign w:val="center"/>
          </w:tcPr>
          <w:p w:rsidP="00690865" w:rsidR="00936D40" w:rsidRDefault="00936D40" w:rsidRPr="007F52FA">
            <w:pPr>
              <w:autoSpaceDE w:val="0"/>
              <w:autoSpaceDN w:val="0"/>
              <w:adjustRightInd w:val="0"/>
              <w:spacing w:before="29" w:line="288" w:lineRule="auto"/>
              <w:ind w:left="17"/>
              <w:jc w:val="left"/>
              <w:rPr>
                <w:rFonts w:eastAsiaTheme="minorEastAsia"/>
                <w:color w:val="000000"/>
                <w:sz w:val="24"/>
              </w:rPr>
            </w:pPr>
            <w:r w:rsidRPr="007F52FA">
              <w:rPr>
                <w:rFonts w:eastAsiaTheme="minorEastAsia"/>
                <w:color w:val="000000"/>
                <w:kern w:val="0"/>
                <w:sz w:val="24"/>
              </w:rPr>
              <w:t/>
            </w:r>
            <w:r w:rsidRPr="007F52FA">
              <w:rPr>
                <w:rFonts w:eastAsiaTheme="minorEastAsia"/>
                <w:sz w:val="24"/>
              </w:rPr>
              <w:t/>
            </w:r>
            <w:r w:rsidR="004D614E" w:rsidRPr="007F52FA">
              <w:rPr>
                <w:rFonts w:eastAsiaTheme="minorEastAsia"/>
                <w:sz w:val="24"/>
              </w:rPr>
              <w:t/>
            </w:r>
            <w:r w:rsidR="0042785F" w:rsidRPr="007F52FA">
              <w:rPr>
                <w:rFonts w:eastAsiaTheme="minorEastAsia"/>
                <w:sz w:val="24"/>
              </w:rPr>
              <w:t>交银新回报灵活配置混合C</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B011B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936D40" w:rsidRPr="007F52FA">
              <w:rPr>
                <w:rFonts w:eastAsiaTheme="minorEastAsia"/>
                <w:color w:val="000000"/>
                <w:sz w:val="24"/>
              </w:rPr>
              <w:t/>
            </w:r>
            <w:r w:rsidR="0042785F" w:rsidRPr="007F52FA">
              <w:rPr>
                <w:rFonts w:eastAsiaTheme="minorEastAsia"/>
                <w:color w:val="000000"/>
                <w:sz w:val="24"/>
              </w:rPr>
              <w:t>349,476,159.54</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B011B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936D40" w:rsidRPr="007F52FA">
              <w:rPr>
                <w:rFonts w:eastAsiaTheme="minorEastAsia"/>
                <w:color w:val="000000"/>
                <w:sz w:val="24"/>
              </w:rPr>
              <w:t/>
            </w:r>
            <w:r w:rsidR="00EA1D33" w:rsidRPr="007F52FA">
              <w:rPr>
                <w:rFonts w:eastAsiaTheme="minorEastAsia"/>
                <w:color w:val="000000"/>
                <w:sz w:val="24"/>
              </w:rPr>
              <w:t/>
            </w:r>
            <w:r w:rsidR="0042785F" w:rsidRPr="007F52FA">
              <w:rPr>
                <w:rFonts w:eastAsiaTheme="minorEastAsia"/>
                <w:color w:val="000000"/>
                <w:sz w:val="24"/>
              </w:rPr>
              <w:t>12,982,474.57</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F72579"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58,162,789.38</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13,311,816.97</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12,403,832.44</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14,330,579.74</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896AC6" w:rsidR="00936D40" w:rsidRDefault="00F72579"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
            </w:r>
            <w:r w:rsidR="0042785F" w:rsidRPr="007F52FA">
              <w:rPr>
                <w:rFonts w:eastAsiaTheme="minorEastAsia"/>
                <w:color w:val="000000"/>
                <w:sz w:val="24"/>
              </w:rPr>
              <w:lastRenderedPageBreak/>
              <w:t>395,235,116.48</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lastRenderedPageBreak/>
              <w:t/>
            </w:r>
            <w:r w:rsidR="004D614E" w:rsidRPr="007F52FA">
              <w:rPr>
                <w:rFonts w:eastAsiaTheme="minorEastAsia"/>
                <w:color w:val="000000"/>
                <w:sz w:val="24"/>
              </w:rPr>
              <w:t/>
            </w:r>
            <w:r w:rsidR="004D614E" w:rsidRPr="007F52FA">
              <w:rPr>
                <w:rFonts w:eastAsiaTheme="minorEastAsia"/>
                <w:color w:val="000000"/>
                <w:sz w:val="24"/>
              </w:rPr>
              <w:lastRenderedPageBreak/>
              <w:t/>
            </w:r>
            <w:r w:rsidR="0042785F" w:rsidRPr="007F52FA">
              <w:rPr>
                <w:rFonts w:eastAsiaTheme="minorEastAsia"/>
                <w:color w:val="000000"/>
                <w:sz w:val="24"/>
              </w:rPr>
              <w:t>11,963,711.80</w:t>
            </w:r>
          </w:p>
        </w:tc>
      </w:tr>
    </w:tbl>
    <w:p>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 xml:space="preserve">注：1、如果本报告期间发生转换入、红利再投业务，则总申购份额中包含该业务；     </w:t>
      </w:r>
    </w:p>
    <w:p w:rsidP="007C14DF" w:rsidR="00FB3C94" w:rsidRDefault="00FB3C94"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lastRenderedPageBreak/>
        <w:t>2、如果本报告期间发生转换出业务，则总赎回份额中包含该业务。</w:t>
      </w:r>
    </w:p>
    <w:p w:rsidP="007C14DF" w:rsidR="00426568" w:rsidRDefault="00426568">
      <w:pPr>
        <w:autoSpaceDE w:val="0"/>
        <w:autoSpaceDN w:val="0"/>
        <w:adjustRightInd w:val="0"/>
        <w:spacing w:before="29" w:line="288" w:lineRule="auto"/>
        <w:jc w:val="left"/>
        <w:rPr>
          <w:rFonts w:eastAsiaTheme="minorEastAsia"/>
          <w:color w:val="000000"/>
          <w:sz w:val="24"/>
        </w:rPr>
      </w:pPr>
    </w:p>
    <w:p w:rsidP="000A2988" w:rsidR="000673DA" w:rsidRDefault="00C51B4E" w:rsidRPr="000673DA">
      <w:pPr>
        <w:pStyle w:val="1"/>
        <w:tabs>
          <w:tab w:pos="4156" w:val="center"/>
          <w:tab w:pos="8312" w:val="right"/>
        </w:tabs>
        <w:spacing w:after="312" w:afterLines="100" w:before="312" w:beforeLines="100" w:line="288" w:lineRule="auto"/>
        <w:jc w:val="center"/>
        <w:rPr>
          <w:sz w:val="24"/>
          <w:szCs w:val="24"/>
        </w:rPr>
      </w:pPr>
      <w:r>
        <w:rPr>
          <w:color w:val="000000"/>
          <w:kern w:val="0"/>
          <w:sz w:val="24"/>
          <w:szCs w:val="24"/>
        </w:rPr>
        <w:t>§</w:t>
      </w:r>
      <w:r>
        <w:rPr>
          <w:rFonts w:hint="eastAsia"/>
          <w:color w:val="000000"/>
          <w:kern w:val="0"/>
          <w:sz w:val="24"/>
          <w:szCs w:val="24"/>
        </w:rPr>
        <w:t/>
      </w:r>
      <w:r w:rsidR="000673DA" w:rsidRPr="000673DA">
        <w:rPr>
          <w:color w:val="000000"/>
          <w:kern w:val="0"/>
          <w:sz w:val="24"/>
          <w:szCs w:val="24"/>
        </w:rPr>
        <w:t xml:space="preserve">7  </w:t>
      </w:r>
      <w:r w:rsidR="000673DA" w:rsidRPr="000673DA">
        <w:rPr>
          <w:rFonts w:hAnsi="宋体"/>
          <w:sz w:val="24"/>
          <w:szCs w:val="24"/>
        </w:rPr>
        <w:t>基金管理人运用固有资金投资本基金情况</w:t>
      </w:r>
    </w:p>
    <w:p w:rsidP="007C14DF" w:rsidR="000673DA" w:rsidRDefault="000673DA" w:rsidRPr="000673DA">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P="007C14DF" w:rsidR="008A3BCC" w:rsidRDefault="00AE55CC" w:rsidRPr="00AE55CC">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P="007C14DF" w:rsidR="008A3BCC" w:rsidRDefault="008A3BCC">
      <w:pPr>
        <w:autoSpaceDE w:val="0"/>
        <w:autoSpaceDN w:val="0"/>
        <w:adjustRightInd w:val="0"/>
        <w:spacing w:before="29" w:line="288" w:lineRule="auto"/>
        <w:jc w:val="left"/>
        <w:rPr>
          <w:color w:val="000000"/>
          <w:sz w:val="24"/>
        </w:rPr>
      </w:pPr>
    </w:p>
    <w:p w:rsidP="00646AEE" w:rsidR="008A3BCC" w:rsidRDefault="000673DA" w:rsidRPr="008A3BCC">
      <w:pPr>
        <w:autoSpaceDE w:val="0"/>
        <w:autoSpaceDN w:val="0"/>
        <w:adjustRightInd w:val="0"/>
        <w:spacing w:before="29" w:line="288" w:lineRule="auto"/>
        <w:jc w:val="left"/>
        <w:rPr>
          <w:b/>
          <w:color w:val="000000"/>
          <w:sz w:val="24"/>
        </w:rPr>
      </w:pPr>
      <w:r w:rsidRPr="008A3BCC">
        <w:rPr>
          <w:b/>
          <w:sz w:val="24"/>
        </w:rPr>
        <w:t/>
      </w: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P="007C14DF" w:rsidR="00285618" w:rsidRDefault="00285618"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P="007C14DF" w:rsidR="00F2646E" w:rsidRDefault="00F2646E" w:rsidRPr="007F52FA">
      <w:pPr>
        <w:autoSpaceDE w:val="0"/>
        <w:autoSpaceDN w:val="0"/>
        <w:adjustRightInd w:val="0"/>
        <w:spacing w:before="29" w:line="288" w:lineRule="auto"/>
        <w:jc w:val="left"/>
        <w:rPr>
          <w:rFonts w:eastAsiaTheme="minorEastAsia"/>
          <w:color w:val="000000"/>
          <w:sz w:val="24"/>
        </w:rPr>
      </w:pPr>
    </w:p>
    <w:p w:rsidP="000A2988" w:rsidR="00ED0E09" w:rsidRDefault="00ED0E09">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§8 </w:t>
      </w:r>
      <w:r w:rsidR="00F139D5">
        <w:rPr>
          <w:rFonts w:eastAsiaTheme="minorEastAsia"/>
          <w:color w:themeColor="text1" w:val="000000"/>
          <w:kern w:val="0"/>
          <w:sz w:val="21"/>
          <w:szCs w:val="21"/>
        </w:rPr>
        <w:t xml:space="preserve"> </w:t>
      </w:r>
      <w:r>
        <w:rPr>
          <w:rFonts w:eastAsiaTheme="minorEastAsia" w:hint="eastAsia"/>
          <w:color w:themeColor="text1" w:val="000000"/>
          <w:kern w:val="0"/>
          <w:sz w:val="21"/>
          <w:szCs w:val="21"/>
        </w:rPr>
        <w:t>影响投资者决策的其他重要信息</w:t>
      </w:r>
    </w:p>
    <w:p w:rsidP="00ED0E09" w:rsidR="00ED0E09" w:rsidRDefault="00ED0E09">
      <w:pPr>
        <w:autoSpaceDE w:val="0"/>
        <w:autoSpaceDN w:val="0"/>
        <w:adjustRightInd w:val="0"/>
        <w:spacing w:line="360" w:lineRule="auto"/>
        <w:jc w:val="left"/>
        <w:rPr>
          <w:rFonts w:ascii="宋体" w:hAnsi="宋体"/>
          <w:b/>
          <w:bCs/>
          <w:color w:val="000000"/>
          <w:kern w:val="0"/>
          <w:szCs w:val="21"/>
        </w:rPr>
      </w:pPr>
      <w:r>
        <w:rPr>
          <w:rFonts w:ascii="宋体" w:hAnsi="宋体" w:hint="eastAsia"/>
          <w:b/>
          <w:color w:val="000000"/>
          <w:kern w:val="0"/>
          <w:szCs w:val="21"/>
        </w:rPr>
        <w:t/>
      </w:r>
      <w:r>
        <w:rPr>
          <w:rFonts w:ascii="宋体" w:hAnsi="宋体" w:hint="eastAsia"/>
          <w:b/>
          <w:bCs/>
          <w:color w:val="000000"/>
          <w:kern w:val="0"/>
          <w:szCs w:val="21"/>
        </w:rPr>
        <w:t>8.1 报告期内单一投资者持有基金份额比例达到或超过20%的情况</w:t>
      </w:r>
    </w:p>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92"/>
        <w:gridCol w:w="991"/>
        <w:gridCol w:w="1843"/>
        <w:gridCol w:w="851"/>
        <w:gridCol w:w="850"/>
        <w:gridCol w:w="1134"/>
        <w:gridCol w:w="1419"/>
        <w:gridCol w:w="1130"/>
      </w:tblGrid>
      <w:tr w:rsidR="00ED0E09" w:rsidTr="00ED0E09">
        <w:tc>
          <w:tcPr>
            <w:tcW w:type="dxa" w:w="993"/>
            <w:vMerge w:val="restart"/>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type="dxa" w:w="5670"/>
            <w:gridSpan w:val="5"/>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type="dxa" w:w="2549"/>
            <w:gridSpan w:val="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ED0E09" w:rsidTr="00ED0E09">
        <w:tc>
          <w:tcPr>
            <w:tcW w:type="dxa" w:w="993"/>
            <w:vMerge/>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left"/>
              <w:rPr>
                <w:rFonts w:ascii="宋体" w:hAnsi="宋体"/>
                <w:b/>
                <w:bCs/>
                <w:color w:val="000000"/>
                <w:kern w:val="0"/>
                <w:szCs w:val="21"/>
              </w:rPr>
            </w:pPr>
          </w:p>
        </w:tc>
        <w:tc>
          <w:tcPr>
            <w:tcW w:type="dxa" w:w="99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type="dxa" w:w="1843"/>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type="dxa" w:w="851"/>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type="dxa" w:w="850"/>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type="dxa" w:w="1134"/>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type="dxa" w:w="1419"/>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type="dxa" w:w="1130"/>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tc>
          <w:tcPr>
            <w:vMerge w:val="restart"/>
          </w:tcPr>
          <w:p/>
          <w:p>
            <w:r>
              <w:rPr>
                <w:rFonts w:ascii="宋体" w:hAnsi="宋体" w:hint="eastAsia"/>
                <w:bCs/>
                <w:color w:val="000000"/>
                <w:kern w:val="0"/>
                <w:szCs w:val="21"/>
              </w:rPr>
              <w:t>机构</w:t>
            </w:r>
          </w:p>
        </w:tc>
        <w:tc>
          <w:tcPr>
            <w:vAlign w:val="center"/>
          </w:tcPr>
          <w:p>
            <w:pPr>
              <w:jc w:val="center"/>
            </w:pPr>
            <w:r>
              <w:rPr>
                <w:rFonts w:ascii="宋体" w:hAnsi="宋体" w:hint="eastAsia"/>
                <w:color w:val="000000"/>
                <w:kern w:val="0"/>
                <w:szCs w:val="21"/>
              </w:rPr>
              <w:t>1</w:t>
            </w:r>
          </w:p>
        </w:tc>
        <w:tc>
          <w:tcPr>
            <w:vAlign w:val="center"/>
          </w:tcPr>
          <w:p>
            <w:pPr>
              <w:jc w:val="center"/>
            </w:pPr>
            <w:r>
              <w:rPr>
                <w:rFonts w:ascii="宋体" w:hAnsi="宋体" w:hint="eastAsia"/>
                <w:color w:val="000000"/>
                <w:kern w:val="0"/>
                <w:szCs w:val="21"/>
              </w:rPr>
              <w:t>2019/7/1-2019/9/30</w:t>
            </w:r>
          </w:p>
        </w:tc>
        <w:tc>
          <w:tcPr>
            <w:vAlign w:val="center"/>
          </w:tcPr>
          <w:p>
            <w:pPr>
              <w:jc w:val="center"/>
            </w:pPr>
            <w:r>
              <w:rPr>
                <w:rFonts w:ascii="宋体" w:hAnsi="宋体" w:hint="eastAsia"/>
                <w:color w:val="000000"/>
                <w:kern w:val="0"/>
                <w:szCs w:val="21"/>
              </w:rPr>
              <w:t>144,229,807.69</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144,229,807.69</w:t>
            </w:r>
          </w:p>
        </w:tc>
        <w:tc>
          <w:tcPr>
            <w:vAlign w:val="center"/>
          </w:tcPr>
          <w:p>
            <w:pPr>
              <w:jc w:val="center"/>
            </w:pPr>
            <w:r>
              <w:rPr>
                <w:rFonts w:ascii="宋体" w:hAnsi="宋体" w:hint="eastAsia"/>
                <w:color w:val="000000"/>
                <w:kern w:val="0"/>
                <w:szCs w:val="21"/>
              </w:rPr>
              <w:t>35.42%</w:t>
            </w:r>
          </w:p>
        </w:tc>
      </w:tr>
      <w:tr>
        <w:tc>
          <w:tcPr>
            <w:vMerge/>
          </w:tcPr>
          <w:p/>
        </w:tc>
        <w:tc>
          <w:tcPr>
            <w:vAlign w:val="center"/>
          </w:tcPr>
          <w:p>
            <w:pPr>
              <w:jc w:val="center"/>
            </w:pPr>
            <w:r>
              <w:rPr>
                <w:rFonts w:ascii="宋体" w:hAnsi="宋体" w:hint="eastAsia"/>
                <w:color w:val="000000"/>
                <w:kern w:val="0"/>
                <w:szCs w:val="21"/>
              </w:rPr>
              <w:t>2</w:t>
            </w:r>
          </w:p>
        </w:tc>
        <w:tc>
          <w:tcPr>
            <w:vAlign w:val="center"/>
          </w:tcPr>
          <w:p>
            <w:pPr>
              <w:jc w:val="center"/>
            </w:pPr>
            <w:r>
              <w:rPr>
                <w:rFonts w:ascii="宋体" w:hAnsi="宋体" w:hint="eastAsia"/>
                <w:color w:val="000000"/>
                <w:kern w:val="0"/>
                <w:szCs w:val="21"/>
              </w:rPr>
              <w:t>2019/7/1-2019/9/30</w:t>
            </w:r>
          </w:p>
        </w:tc>
        <w:tc>
          <w:tcPr>
            <w:vAlign w:val="center"/>
          </w:tcPr>
          <w:p>
            <w:pPr>
              <w:jc w:val="center"/>
            </w:pPr>
            <w:r>
              <w:rPr>
                <w:rFonts w:ascii="宋体" w:hAnsi="宋体" w:hint="eastAsia"/>
                <w:color w:val="000000"/>
                <w:kern w:val="0"/>
                <w:szCs w:val="21"/>
              </w:rPr>
              <w:t>102,475,661.83</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102,475,661.83</w:t>
            </w:r>
          </w:p>
        </w:tc>
        <w:tc>
          <w:tcPr>
            <w:vAlign w:val="center"/>
          </w:tcPr>
          <w:p>
            <w:pPr>
              <w:jc w:val="center"/>
            </w:pPr>
            <w:r>
              <w:rPr>
                <w:rFonts w:ascii="宋体" w:hAnsi="宋体" w:hint="eastAsia"/>
                <w:color w:val="000000"/>
                <w:kern w:val="0"/>
                <w:szCs w:val="21"/>
              </w:rPr>
              <w:t>25.17%</w:t>
            </w:r>
          </w:p>
        </w:tc>
      </w:tr>
    </w:tbl>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210"/>
      </w:tblGrid>
      <w:tr w:rsidR="00ED0E09" w:rsidTr="00ED0E09">
        <w:tc>
          <w:tcPr>
            <w:tcW w:type="dxa" w:w="921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r>
              <w:rPr>
                <w:rFonts w:ascii="宋体" w:hAnsi="宋体" w:hint="eastAsia"/>
                <w:kern w:val="0"/>
                <w:szCs w:val="21"/>
              </w:rPr>
              <w:t/>
            </w:r>
          </w:p>
        </w:tc>
      </w:tr>
      <w:tr w:rsidR="00ED0E09" w:rsidTr="00ED0E09">
        <w:tc>
          <w:tcPr>
            <w:tcW w:type="dxa" w:w="921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P="000A2988" w:rsidR="00175E3A" w:rsidRDefault="009238DB" w:rsidRPr="007032A6">
      <w:pPr>
        <w:pStyle w:val="1"/>
        <w:spacing w:after="312" w:afterLines="100" w:before="312" w:beforeLines="100"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
      </w:r>
      <w:r w:rsidR="00D13A01" w:rsidRPr="007F52FA">
        <w:rPr>
          <w:rFonts w:eastAsiaTheme="minorEastAsia"/>
          <w:color w:val="000000"/>
          <w:kern w:val="0"/>
          <w:sz w:val="24"/>
          <w:szCs w:val="24"/>
        </w:rPr>
        <w:t/>
      </w:r>
      <w:r w:rsidR="00A14399" w:rsidRPr="007F52FA">
        <w:rPr>
          <w:rFonts w:eastAsiaTheme="minorEastAsia"/>
          <w:color w:val="000000"/>
          <w:kern w:val="0"/>
          <w:sz w:val="24"/>
          <w:szCs w:val="24"/>
        </w:rPr>
        <w:t>9</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P="007C14DF" w:rsidR="00FB3C94" w:rsidRDefault="00A14399" w:rsidRPr="007F52FA">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
      </w:r>
      <w:r w:rsidR="00D13A01" w:rsidRPr="007F52FA">
        <w:rPr>
          <w:rFonts w:eastAsiaTheme="minorEastAsia"/>
          <w:b/>
          <w:bCs/>
          <w:color w:val="000000"/>
          <w:kern w:val="0"/>
          <w:sz w:val="24"/>
        </w:rPr>
        <w:t/>
      </w:r>
      <w:r w:rsidRPr="007F52FA">
        <w:rPr>
          <w:rFonts w:eastAsiaTheme="minorEastAsia"/>
          <w:b/>
          <w:bCs/>
          <w:color w:val="000000"/>
          <w:kern w:val="0"/>
          <w:sz w:val="24"/>
        </w:rPr>
        <w:t>9.</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pPr>
        <w:spacing w:before="29" w:line="288" w:lineRule="auto"/>
        <w:ind w:firstLine="480" w:firstLineChars="200"/>
        <w:rPr>
          <w:rFonts w:eastAsiaTheme="minorEastAsia"/>
          <w:color w:val="000000"/>
          <w:sz w:val="24"/>
        </w:rPr>
      </w:pPr>
      <w:r>
        <w:rPr>
          <w:rFonts w:eastAsiaTheme="minorEastAsia"/>
          <w:color w:val="000000"/>
          <w:sz w:val="24"/>
        </w:rPr>
        <w:t xml:space="preserve">1、中国证监会准予交银施罗德新回报灵活配置混合型证券投资基金募集注册的文件； </w:t>
      </w:r>
    </w:p>
    <w:p>
      <w:pPr>
        <w:spacing w:before="29" w:line="288" w:lineRule="auto"/>
        <w:ind w:firstLine="480" w:firstLineChars="200"/>
        <w:rPr>
          <w:rFonts w:eastAsiaTheme="minorEastAsia"/>
          <w:color w:val="000000"/>
          <w:sz w:val="24"/>
        </w:rPr>
      </w:pPr>
      <w:r>
        <w:rPr>
          <w:rFonts w:eastAsiaTheme="minorEastAsia"/>
          <w:color w:val="000000"/>
          <w:sz w:val="24"/>
        </w:rPr>
        <w:t>2、《交银施罗德新回报灵活配置混合型证券投资基金基金合同》；</w:t>
      </w:r>
    </w:p>
    <w:p>
      <w:pPr>
        <w:spacing w:before="29" w:line="288" w:lineRule="auto"/>
        <w:ind w:firstLine="480" w:firstLineChars="200"/>
        <w:rPr>
          <w:rFonts w:eastAsiaTheme="minorEastAsia"/>
          <w:color w:val="000000"/>
          <w:sz w:val="24"/>
        </w:rPr>
      </w:pPr>
      <w:r>
        <w:rPr>
          <w:rFonts w:eastAsiaTheme="minorEastAsia"/>
          <w:color w:val="000000"/>
          <w:sz w:val="24"/>
        </w:rPr>
        <w:t xml:space="preserve">3、《交银施罗德新回报灵活配置混合型证券投资基金招募说明书》； </w:t>
      </w:r>
    </w:p>
    <w:p>
      <w:pPr>
        <w:spacing w:before="29" w:line="288" w:lineRule="auto"/>
        <w:ind w:firstLine="480" w:firstLineChars="200"/>
        <w:rPr>
          <w:rFonts w:eastAsiaTheme="minorEastAsia"/>
          <w:color w:val="000000"/>
          <w:sz w:val="24"/>
        </w:rPr>
      </w:pPr>
      <w:r>
        <w:rPr>
          <w:rFonts w:eastAsiaTheme="minorEastAsia"/>
          <w:color w:val="000000"/>
          <w:sz w:val="24"/>
        </w:rPr>
        <w:t xml:space="preserve">4、《交银施罗德新回报灵活配置混合型证券投资基金托管协议》； </w:t>
      </w:r>
    </w:p>
    <w:p>
      <w:pPr>
        <w:spacing w:before="29" w:line="288" w:lineRule="auto"/>
        <w:ind w:firstLine="480" w:firstLineChars="200"/>
        <w:rPr>
          <w:rFonts w:eastAsiaTheme="minorEastAsia"/>
          <w:color w:val="000000"/>
          <w:sz w:val="24"/>
        </w:rPr>
      </w:pPr>
      <w:r>
        <w:rPr>
          <w:rFonts w:eastAsiaTheme="minorEastAsia"/>
          <w:color w:val="000000"/>
          <w:sz w:val="24"/>
        </w:rPr>
        <w:t>5、基金管理人业务资格批件、营业执照；</w:t>
      </w:r>
    </w:p>
    <w:p>
      <w:pPr>
        <w:spacing w:before="29" w:line="288" w:lineRule="auto"/>
        <w:ind w:firstLine="480" w:firstLineChars="200"/>
        <w:rPr>
          <w:rFonts w:eastAsiaTheme="minorEastAsia"/>
          <w:color w:val="000000"/>
          <w:sz w:val="24"/>
        </w:rPr>
      </w:pPr>
      <w:r>
        <w:rPr>
          <w:rFonts w:eastAsiaTheme="minorEastAsia"/>
          <w:color w:val="000000"/>
          <w:sz w:val="24"/>
        </w:rPr>
        <w:t>6、基金托管人业务资格批件、营业执照；</w:t>
      </w:r>
    </w:p>
    <w:p>
      <w:pPr>
        <w:spacing w:before="29" w:line="288" w:lineRule="auto"/>
        <w:ind w:firstLine="480" w:firstLineChars="200"/>
        <w:rPr>
          <w:rFonts w:eastAsiaTheme="minorEastAsia"/>
          <w:color w:val="000000"/>
          <w:sz w:val="24"/>
        </w:rPr>
      </w:pPr>
      <w:r>
        <w:rPr>
          <w:rFonts w:eastAsiaTheme="minorEastAsia"/>
          <w:color w:val="000000"/>
          <w:sz w:val="24"/>
        </w:rPr>
        <w:t>7、关于申请募集注册交银施罗德新回报灵活配置混合型证券投资基金的法律意见书；</w:t>
      </w:r>
    </w:p>
    <w:p w:rsidP="007C14DF" w:rsidR="00FB3C94" w:rsidRDefault="00FB3C94"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8、报告期内交银施罗德新回报灵活配置混合型证券投资基金在指定报刊上各项公告的原稿。</w:t>
      </w:r>
    </w:p>
    <w:p w:rsidP="007C14DF" w:rsidR="00F11783" w:rsidRDefault="00F11783" w:rsidRPr="007F52FA">
      <w:pPr>
        <w:spacing w:before="29" w:line="288" w:lineRule="auto"/>
        <w:ind w:firstLine="480" w:firstLineChars="200"/>
        <w:rPr>
          <w:rFonts w:eastAsiaTheme="minorEastAsia"/>
          <w:color w:val="000000"/>
          <w:sz w:val="24"/>
        </w:rPr>
      </w:pPr>
    </w:p>
    <w:p w:rsidP="007C14DF" w:rsidR="00FB3C94" w:rsidRDefault="00D13A01" w:rsidRPr="007F52FA">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lastRenderedPageBreak/>
        <w:t>9.2</w:t>
      </w:r>
      <w:r w:rsidR="00FB3C94" w:rsidRPr="007F52FA">
        <w:rPr>
          <w:rFonts w:eastAsiaTheme="minorEastAsia"/>
          <w:b/>
          <w:bCs/>
          <w:color w:val="000000"/>
          <w:kern w:val="0"/>
          <w:sz w:val="24"/>
        </w:rPr>
        <w:t>存放地点</w:t>
      </w:r>
    </w:p>
    <w:p w:rsidP="007C14DF" w:rsidR="00FB3C94" w:rsidRDefault="00FB3C94"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备查文件存放于基金管理人的办公场所。</w:t>
      </w:r>
    </w:p>
    <w:p w:rsidP="007C14DF" w:rsidR="00F11783" w:rsidRDefault="00F11783" w:rsidRPr="007F52FA">
      <w:pPr>
        <w:spacing w:before="29" w:line="288" w:lineRule="auto"/>
        <w:ind w:firstLine="480" w:firstLineChars="200"/>
        <w:rPr>
          <w:rFonts w:eastAsiaTheme="minorEastAsia"/>
          <w:color w:val="000000"/>
          <w:sz w:val="24"/>
        </w:rPr>
      </w:pPr>
    </w:p>
    <w:p w:rsidP="007C14DF" w:rsidR="00FB3C94" w:rsidRDefault="00D13A01" w:rsidRPr="007F52FA">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9.3</w:t>
      </w:r>
      <w:r w:rsidR="00FB3C94" w:rsidRPr="007F52FA">
        <w:rPr>
          <w:rFonts w:eastAsiaTheme="minorEastAsia"/>
          <w:b/>
          <w:bCs/>
          <w:color w:val="000000"/>
          <w:kern w:val="0"/>
          <w:sz w:val="24"/>
        </w:rPr>
        <w:t>查阅方式</w:t>
      </w:r>
    </w:p>
    <w:p>
      <w:pPr>
        <w:spacing w:before="29" w:line="288" w:lineRule="auto"/>
        <w:ind w:firstLine="480" w:firstLineChars="200"/>
        <w:rPr>
          <w:rFonts w:eastAsiaTheme="minorEastAsia"/>
          <w:color w:val="000000"/>
          <w:sz w:val="24"/>
        </w:rPr>
      </w:pPr>
      <w:r>
        <w:rPr>
          <w:rFonts w:eastAsiaTheme="minorEastAsia"/>
          <w:color w:val="000000"/>
          <w:sz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7C14DF" w:rsidR="009238DB" w:rsidRDefault="00FB3C94"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投资者对本报告书如有疑问，可咨询本基金管理人交银施罗德基金管理有限公司。本公司客户服务中心电话：400-700-5000（免长途话费），021-61055000，电子邮件：services@jysld.com。</w:t>
      </w:r>
    </w:p>
    <w:p w:rsidP="007C14DF" w:rsidR="004D36DF" w:rsidRDefault="004D36DF" w:rsidRPr="007F52FA">
      <w:pPr>
        <w:spacing w:before="29" w:line="288" w:lineRule="auto"/>
        <w:ind w:firstLine="480" w:firstLineChars="200"/>
        <w:rPr>
          <w:rFonts w:eastAsiaTheme="minorEastAsia"/>
          <w:color w:val="000000"/>
          <w:sz w:val="24"/>
        </w:rPr>
      </w:pPr>
    </w:p>
    <w:sectPr w:rsidR="004D36DF" w:rsidRPr="007F52FA" w:rsidSect="007A5233">
      <w:footerReference r:id="rId16" w:type="even"/>
      <w:pgSz w:h="16838" w:w="11906"/>
      <w:pgMar w:bottom="1440" w:footer="992" w:gutter="0" w:header="851" w:left="1440" w:right="1440" w:top="1440"/>
      <w:cols w:space="425"/>
      <w:docGrid w:linePitch="312"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E22" w:rsidRDefault="000A2E22">
      <w:r>
        <w:separator/>
      </w:r>
    </w:p>
  </w:endnote>
  <w:endnote w:type="continuationSeparator" w:id="0">
    <w:p w:rsidR="000A2E22" w:rsidRDefault="000A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rsidR="00C51B4E" w:rsidRDefault="00C51B4E">
    <w:pPr>
      <w:pStyle w:val="a7"/>
    </w:pP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rsidP="00F7094A" w:rsidR="007F50FB" w:rsidRDefault="007F50FB" w:rsidRPr="001D0DB0">
    <w:pPr>
      <w:pStyle w:val="a7"/>
      <w:jc w:val="center"/>
    </w:pPr>
    <w:r>
      <w:rPr>
        <w:rFonts w:hint="eastAsia"/>
        <w:kern w:val="0"/>
        <w:szCs w:val="21"/>
      </w:rPr>
      <w:t>第</w:t>
    </w:r>
    <w:r w:rsidR="0042114A">
      <w:rPr>
        <w:kern w:val="0"/>
        <w:szCs w:val="21"/>
      </w:rPr>
      <w:fldChar w:fldCharType="begin"/>
    </w:r>
    <w:r>
      <w:rPr>
        <w:kern w:val="0"/>
        <w:szCs w:val="21"/>
      </w:rPr>
      <w:instrText xml:space="preserve"> PAGE </w:instrText>
    </w:r>
    <w:r w:rsidR="0042114A">
      <w:rPr>
        <w:kern w:val="0"/>
        <w:szCs w:val="21"/>
      </w:rPr>
      <w:fldChar w:fldCharType="separate"/>
    </w:r>
    <w:r w:rsidR="00143E9C">
      <w:rPr>
        <w:noProof/>
        <w:kern w:val="0"/>
        <w:szCs w:val="21"/>
      </w:rPr>
      <w:t>26</w:t>
    </w:r>
    <w:r w:rsidR="0042114A">
      <w:rPr>
        <w:kern w:val="0"/>
        <w:szCs w:val="21"/>
      </w:rPr>
      <w:fldChar w:fldCharType="end"/>
    </w:r>
    <w:r>
      <w:rPr>
        <w:rFonts w:hint="eastAsia"/>
        <w:kern w:val="0"/>
        <w:szCs w:val="21"/>
      </w:rPr>
      <w:t>页共</w:t>
    </w:r>
    <w:r w:rsidR="0042114A">
      <w:rPr>
        <w:kern w:val="0"/>
        <w:szCs w:val="21"/>
      </w:rPr>
      <w:fldChar w:fldCharType="begin"/>
    </w:r>
    <w:r>
      <w:rPr>
        <w:kern w:val="0"/>
        <w:szCs w:val="21"/>
      </w:rPr>
      <w:instrText xml:space="preserve"> NUMPAGES </w:instrText>
    </w:r>
    <w:r w:rsidR="0042114A">
      <w:rPr>
        <w:kern w:val="0"/>
        <w:szCs w:val="21"/>
      </w:rPr>
      <w:fldChar w:fldCharType="separate"/>
    </w:r>
    <w:r w:rsidR="00143E9C">
      <w:rPr>
        <w:noProof/>
        <w:kern w:val="0"/>
        <w:szCs w:val="21"/>
      </w:rPr>
      <w:t>27</w:t>
    </w:r>
    <w:r w:rsidR="0042114A">
      <w:rPr>
        <w:kern w:val="0"/>
        <w:szCs w:val="21"/>
      </w:rPr>
      <w:fldChar w:fldCharType="end"/>
    </w:r>
    <w:r>
      <w:rPr>
        <w:rFonts w:hint="eastAsia"/>
        <w:kern w:val="0"/>
        <w:szCs w:val="21"/>
      </w:rPr>
      <w:t>页</w:t>
    </w:r>
  </w:p>
</w:ftr>
</file>

<file path=word/footer3.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rsidR="00C51B4E" w:rsidRDefault="00C51B4E">
    <w:pPr>
      <w:pStyle w:val="a7"/>
    </w:pPr>
  </w:p>
</w:ftr>
</file>

<file path=word/footer4.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rsidR="007F50FB" w:rsidRDefault="0042114A">
    <w:pPr>
      <w:pStyle w:val="a7"/>
      <w:framePr w:hAnchor="margin" w:vAnchor="text" w:wrap="around" w:xAlign="center" w:y="1"/>
      <w:rPr>
        <w:rStyle w:val="a8"/>
      </w:rPr>
    </w:pPr>
    <w:r>
      <w:rPr>
        <w:rStyle w:val="a8"/>
      </w:rPr>
      <w:fldChar w:fldCharType="begin"/>
    </w:r>
    <w:r w:rsidR="007F50FB">
      <w:rPr>
        <w:rStyle w:val="a8"/>
      </w:rPr>
      <w:instrText xml:space="preserve">PAGE  </w:instrText>
    </w:r>
    <w:r>
      <w:rPr>
        <w:rStyle w:val="a8"/>
      </w:rPr>
      <w:fldChar w:fldCharType="end"/>
    </w:r>
  </w:p>
  <w:p w:rsidR="007F50FB" w:rsidRDefault="007F50FB">
    <w:pPr>
      <w:pStyle w:val="a7"/>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footnote w:id="-1" w:type="separator">
    <w:p w:rsidR="000A2E22" w:rsidRDefault="000A2E22">
      <w:r>
        <w:separator/>
      </w:r>
    </w:p>
  </w:footnote>
  <w:footnote w:id="0" w:type="continuationSeparator">
    <w:p w:rsidR="000A2E22" w:rsidRDefault="000A2E22">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rsidR="00C51B4E" w:rsidRDefault="00C51B4E">
    <w:pPr>
      <w:pStyle w:val="aa"/>
    </w:pPr>
  </w:p>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rsidP="00D3445F" w:rsidR="007F50FB" w:rsidRDefault="00D3445F" w:rsidRPr="00D3445F">
    <w:pPr>
      <w:spacing w:before="29" w:line="288" w:lineRule="auto"/>
      <w:jc w:val="right"/>
      <w:rPr>
        <w:rFonts w:eastAsiaTheme="minorEastAsia"/>
        <w:sz w:val="24"/>
      </w:rPr>
    </w:pPr>
    <w:r w:rsidRPr="00D3445F">
      <w:rPr>
        <w:rFonts w:eastAsiaTheme="minorEastAsia"/>
        <w:sz w:val="24"/>
      </w:rPr>
      <w:t>交银施罗德新回报灵活配置混合型证券投资基金2019年第3季度报告</w:t>
    </w:r>
  </w:p>
</w:hdr>
</file>

<file path=word/header3.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rsidR="00C51B4E" w:rsidRDefault="00C51B4E">
    <w:pPr>
      <w:pStyle w:val="aa"/>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15:restartNumberingAfterBreak="0"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cs="Times New Roman" w:eastAsia="宋体" w:hAnsi="Times New Roman" w:hint="default"/>
      </w:rPr>
    </w:lvl>
    <w:lvl w:ilvl="1" w:tentative="1" w:tplc="04090003">
      <w:start w:val="1"/>
      <w:numFmt w:val="bullet"/>
      <w:lvlText w:val=""/>
      <w:lvlJc w:val="left"/>
      <w:pPr>
        <w:tabs>
          <w:tab w:pos="1260" w:val="num"/>
        </w:tabs>
        <w:ind w:hanging="420" w:left="1260"/>
      </w:pPr>
      <w:rPr>
        <w:rFonts w:ascii="Wingdings" w:hAnsi="Wingdings" w:hint="default"/>
      </w:rPr>
    </w:lvl>
    <w:lvl w:ilvl="2" w:tentative="1" w:tplc="04090005">
      <w:start w:val="1"/>
      <w:numFmt w:val="bullet"/>
      <w:lvlText w:val=""/>
      <w:lvlJc w:val="left"/>
      <w:pPr>
        <w:tabs>
          <w:tab w:pos="1680" w:val="num"/>
        </w:tabs>
        <w:ind w:hanging="420" w:left="1680"/>
      </w:pPr>
      <w:rPr>
        <w:rFonts w:ascii="Wingdings" w:hAnsi="Wingdings" w:hint="default"/>
      </w:rPr>
    </w:lvl>
    <w:lvl w:ilvl="3" w:tentative="1" w:tplc="04090001">
      <w:start w:val="1"/>
      <w:numFmt w:val="bullet"/>
      <w:lvlText w:val=""/>
      <w:lvlJc w:val="left"/>
      <w:pPr>
        <w:tabs>
          <w:tab w:pos="2100" w:val="num"/>
        </w:tabs>
        <w:ind w:hanging="420" w:left="2100"/>
      </w:pPr>
      <w:rPr>
        <w:rFonts w:ascii="Wingdings" w:hAnsi="Wingdings" w:hint="default"/>
      </w:rPr>
    </w:lvl>
    <w:lvl w:ilvl="4" w:tentative="1" w:tplc="04090003">
      <w:start w:val="1"/>
      <w:numFmt w:val="bullet"/>
      <w:lvlText w:val=""/>
      <w:lvlJc w:val="left"/>
      <w:pPr>
        <w:tabs>
          <w:tab w:pos="2520" w:val="num"/>
        </w:tabs>
        <w:ind w:hanging="420" w:left="2520"/>
      </w:pPr>
      <w:rPr>
        <w:rFonts w:ascii="Wingdings" w:hAnsi="Wingdings" w:hint="default"/>
      </w:rPr>
    </w:lvl>
    <w:lvl w:ilvl="5" w:tentative="1" w:tplc="04090005">
      <w:start w:val="1"/>
      <w:numFmt w:val="bullet"/>
      <w:lvlText w:val=""/>
      <w:lvlJc w:val="left"/>
      <w:pPr>
        <w:tabs>
          <w:tab w:pos="2940" w:val="num"/>
        </w:tabs>
        <w:ind w:hanging="420" w:left="2940"/>
      </w:pPr>
      <w:rPr>
        <w:rFonts w:ascii="Wingdings" w:hAnsi="Wingdings" w:hint="default"/>
      </w:rPr>
    </w:lvl>
    <w:lvl w:ilvl="6" w:tentative="1" w:tplc="04090001">
      <w:start w:val="1"/>
      <w:numFmt w:val="bullet"/>
      <w:lvlText w:val=""/>
      <w:lvlJc w:val="left"/>
      <w:pPr>
        <w:tabs>
          <w:tab w:pos="3360" w:val="num"/>
        </w:tabs>
        <w:ind w:hanging="420" w:left="3360"/>
      </w:pPr>
      <w:rPr>
        <w:rFonts w:ascii="Wingdings" w:hAnsi="Wingdings" w:hint="default"/>
      </w:rPr>
    </w:lvl>
    <w:lvl w:ilvl="7" w:tentative="1" w:tplc="04090003">
      <w:start w:val="1"/>
      <w:numFmt w:val="bullet"/>
      <w:lvlText w:val=""/>
      <w:lvlJc w:val="left"/>
      <w:pPr>
        <w:tabs>
          <w:tab w:pos="3780" w:val="num"/>
        </w:tabs>
        <w:ind w:hanging="420" w:left="3780"/>
      </w:pPr>
      <w:rPr>
        <w:rFonts w:ascii="Wingdings" w:hAnsi="Wingdings" w:hint="default"/>
      </w:rPr>
    </w:lvl>
    <w:lvl w:ilvl="8" w:tentative="1" w:tplc="04090005">
      <w:start w:val="1"/>
      <w:numFmt w:val="bullet"/>
      <w:lvlText w:val=""/>
      <w:lvlJc w:val="left"/>
      <w:pPr>
        <w:tabs>
          <w:tab w:pos="4200" w:val="num"/>
        </w:tabs>
        <w:ind w:hanging="420" w:left="4200"/>
      </w:pPr>
      <w:rPr>
        <w:rFonts w:ascii="Wingdings" w:hAnsi="Wingdings" w:hint="default"/>
      </w:rPr>
    </w:lvl>
  </w:abstractNum>
  <w:abstractNum w15:restartNumberingAfterBreak="0" w:abstractNumId="1">
    <w:nsid w:val="2A93165E"/>
    <w:multiLevelType w:val="hybridMultilevel"/>
    <w:tmpl w:val="8F54F77E"/>
    <w:lvl w:ilvl="0" w:tplc="8996D53A">
      <w:start w:val="1"/>
      <w:numFmt w:val="japaneseCounting"/>
      <w:lvlText w:val="（%1）"/>
      <w:lvlJc w:val="left"/>
      <w:pPr>
        <w:tabs>
          <w:tab w:pos="1200" w:val="num"/>
        </w:tabs>
        <w:ind w:hanging="720" w:left="1200"/>
      </w:pPr>
      <w:rPr>
        <w:rFonts w:hAnsi="宋体" w:hint="default"/>
      </w:rPr>
    </w:lvl>
    <w:lvl w:ilvl="1" w:tentative="1" w:tplc="04090019">
      <w:start w:val="1"/>
      <w:numFmt w:val="lowerLetter"/>
      <w:lvlText w:val="%2)"/>
      <w:lvlJc w:val="left"/>
      <w:pPr>
        <w:tabs>
          <w:tab w:pos="1320" w:val="num"/>
        </w:tabs>
        <w:ind w:hanging="420" w:left="1320"/>
      </w:pPr>
    </w:lvl>
    <w:lvl w:ilvl="2" w:tentative="1" w:tplc="0409001B">
      <w:start w:val="1"/>
      <w:numFmt w:val="lowerRoman"/>
      <w:lvlText w:val="%3."/>
      <w:lvlJc w:val="right"/>
      <w:pPr>
        <w:tabs>
          <w:tab w:pos="1740" w:val="num"/>
        </w:tabs>
        <w:ind w:hanging="420" w:left="1740"/>
      </w:pPr>
    </w:lvl>
    <w:lvl w:ilvl="3" w:tentative="1" w:tplc="0409000F">
      <w:start w:val="1"/>
      <w:numFmt w:val="decimal"/>
      <w:lvlText w:val="%4."/>
      <w:lvlJc w:val="left"/>
      <w:pPr>
        <w:tabs>
          <w:tab w:pos="2160" w:val="num"/>
        </w:tabs>
        <w:ind w:hanging="420" w:left="2160"/>
      </w:pPr>
    </w:lvl>
    <w:lvl w:ilvl="4" w:tentative="1" w:tplc="04090019">
      <w:start w:val="1"/>
      <w:numFmt w:val="lowerLetter"/>
      <w:lvlText w:val="%5)"/>
      <w:lvlJc w:val="left"/>
      <w:pPr>
        <w:tabs>
          <w:tab w:pos="2580" w:val="num"/>
        </w:tabs>
        <w:ind w:hanging="420" w:left="2580"/>
      </w:pPr>
    </w:lvl>
    <w:lvl w:ilvl="5" w:tentative="1" w:tplc="0409001B">
      <w:start w:val="1"/>
      <w:numFmt w:val="lowerRoman"/>
      <w:lvlText w:val="%6."/>
      <w:lvlJc w:val="right"/>
      <w:pPr>
        <w:tabs>
          <w:tab w:pos="3000" w:val="num"/>
        </w:tabs>
        <w:ind w:hanging="420" w:left="3000"/>
      </w:pPr>
    </w:lvl>
    <w:lvl w:ilvl="6" w:tentative="1" w:tplc="0409000F">
      <w:start w:val="1"/>
      <w:numFmt w:val="decimal"/>
      <w:lvlText w:val="%7."/>
      <w:lvlJc w:val="left"/>
      <w:pPr>
        <w:tabs>
          <w:tab w:pos="3420" w:val="num"/>
        </w:tabs>
        <w:ind w:hanging="420" w:left="3420"/>
      </w:pPr>
    </w:lvl>
    <w:lvl w:ilvl="7" w:tentative="1" w:tplc="04090019">
      <w:start w:val="1"/>
      <w:numFmt w:val="lowerLetter"/>
      <w:lvlText w:val="%8)"/>
      <w:lvlJc w:val="left"/>
      <w:pPr>
        <w:tabs>
          <w:tab w:pos="3840" w:val="num"/>
        </w:tabs>
        <w:ind w:hanging="420" w:left="3840"/>
      </w:pPr>
    </w:lvl>
    <w:lvl w:ilvl="8" w:tentative="1" w:tplc="0409001B">
      <w:start w:val="1"/>
      <w:numFmt w:val="lowerRoman"/>
      <w:lvlText w:val="%9."/>
      <w:lvlJc w:val="right"/>
      <w:pPr>
        <w:tabs>
          <w:tab w:pos="4260" w:val="num"/>
        </w:tabs>
        <w:ind w:hanging="420" w:left="4260"/>
      </w:pPr>
    </w:lvl>
  </w:abstractNum>
  <w:abstractNum w15:restartNumberingAfterBreak="0" w:abstractNumId="2">
    <w:nsid w:val="32C43FA3"/>
    <w:multiLevelType w:val="hybridMultilevel"/>
    <w:tmpl w:val="2658615A"/>
    <w:lvl w:ilvl="0" w:tplc="04090001">
      <w:start w:val="1"/>
      <w:numFmt w:val="bullet"/>
      <w:lvlText w:val=""/>
      <w:lvlJc w:val="left"/>
      <w:pPr>
        <w:tabs>
          <w:tab w:pos="420" w:val="num"/>
        </w:tabs>
        <w:ind w:hanging="420" w:left="420"/>
      </w:pPr>
      <w:rPr>
        <w:rFonts w:ascii="Wingdings" w:hAnsi="Wingdings" w:hint="default"/>
      </w:rPr>
    </w:lvl>
    <w:lvl w:ilvl="1" w:tentative="1" w:tplc="04090003">
      <w:start w:val="1"/>
      <w:numFmt w:val="bullet"/>
      <w:lvlText w:val=""/>
      <w:lvlJc w:val="left"/>
      <w:pPr>
        <w:tabs>
          <w:tab w:pos="840" w:val="num"/>
        </w:tabs>
        <w:ind w:hanging="420" w:left="840"/>
      </w:pPr>
      <w:rPr>
        <w:rFonts w:ascii="Wingdings" w:hAnsi="Wingdings" w:hint="default"/>
      </w:rPr>
    </w:lvl>
    <w:lvl w:ilvl="2" w:tentative="1" w:tplc="04090005">
      <w:start w:val="1"/>
      <w:numFmt w:val="bullet"/>
      <w:lvlText w:val=""/>
      <w:lvlJc w:val="left"/>
      <w:pPr>
        <w:tabs>
          <w:tab w:pos="1260" w:val="num"/>
        </w:tabs>
        <w:ind w:hanging="420" w:left="1260"/>
      </w:pPr>
      <w:rPr>
        <w:rFonts w:ascii="Wingdings" w:hAnsi="Wingdings" w:hint="default"/>
      </w:rPr>
    </w:lvl>
    <w:lvl w:ilvl="3" w:tentative="1" w:tplc="04090001">
      <w:start w:val="1"/>
      <w:numFmt w:val="bullet"/>
      <w:lvlText w:val=""/>
      <w:lvlJc w:val="left"/>
      <w:pPr>
        <w:tabs>
          <w:tab w:pos="1680" w:val="num"/>
        </w:tabs>
        <w:ind w:hanging="420" w:left="1680"/>
      </w:pPr>
      <w:rPr>
        <w:rFonts w:ascii="Wingdings" w:hAnsi="Wingdings" w:hint="default"/>
      </w:rPr>
    </w:lvl>
    <w:lvl w:ilvl="4" w:tentative="1" w:tplc="04090003">
      <w:start w:val="1"/>
      <w:numFmt w:val="bullet"/>
      <w:lvlText w:val=""/>
      <w:lvlJc w:val="left"/>
      <w:pPr>
        <w:tabs>
          <w:tab w:pos="2100" w:val="num"/>
        </w:tabs>
        <w:ind w:hanging="420" w:left="2100"/>
      </w:pPr>
      <w:rPr>
        <w:rFonts w:ascii="Wingdings" w:hAnsi="Wingdings" w:hint="default"/>
      </w:rPr>
    </w:lvl>
    <w:lvl w:ilvl="5" w:tentative="1" w:tplc="04090005">
      <w:start w:val="1"/>
      <w:numFmt w:val="bullet"/>
      <w:lvlText w:val=""/>
      <w:lvlJc w:val="left"/>
      <w:pPr>
        <w:tabs>
          <w:tab w:pos="2520" w:val="num"/>
        </w:tabs>
        <w:ind w:hanging="420" w:left="2520"/>
      </w:pPr>
      <w:rPr>
        <w:rFonts w:ascii="Wingdings" w:hAnsi="Wingdings" w:hint="default"/>
      </w:rPr>
    </w:lvl>
    <w:lvl w:ilvl="6" w:tentative="1" w:tplc="04090001">
      <w:start w:val="1"/>
      <w:numFmt w:val="bullet"/>
      <w:lvlText w:val=""/>
      <w:lvlJc w:val="left"/>
      <w:pPr>
        <w:tabs>
          <w:tab w:pos="2940" w:val="num"/>
        </w:tabs>
        <w:ind w:hanging="420" w:left="2940"/>
      </w:pPr>
      <w:rPr>
        <w:rFonts w:ascii="Wingdings" w:hAnsi="Wingdings" w:hint="default"/>
      </w:rPr>
    </w:lvl>
    <w:lvl w:ilvl="7" w:tentative="1" w:tplc="04090003">
      <w:start w:val="1"/>
      <w:numFmt w:val="bullet"/>
      <w:lvlText w:val=""/>
      <w:lvlJc w:val="left"/>
      <w:pPr>
        <w:tabs>
          <w:tab w:pos="3360" w:val="num"/>
        </w:tabs>
        <w:ind w:hanging="420" w:left="3360"/>
      </w:pPr>
      <w:rPr>
        <w:rFonts w:ascii="Wingdings" w:hAnsi="Wingdings" w:hint="default"/>
      </w:rPr>
    </w:lvl>
    <w:lvl w:ilvl="8" w:tentative="1" w:tplc="04090005">
      <w:start w:val="1"/>
      <w:numFmt w:val="bullet"/>
      <w:lvlText w:val=""/>
      <w:lvlJc w:val="left"/>
      <w:pPr>
        <w:tabs>
          <w:tab w:pos="3780" w:val="num"/>
        </w:tabs>
        <w:ind w:hanging="420" w:left="3780"/>
      </w:pPr>
      <w:rPr>
        <w:rFonts w:ascii="Wingdings" w:hAnsi="Wingdings" w:hint="default"/>
      </w:rPr>
    </w:lvl>
  </w:abstractNum>
  <w:abstractNum w15:restartNumberingAfterBreak="0" w:abstractNumId="3">
    <w:nsid w:val="45342383"/>
    <w:multiLevelType w:val="multilevel"/>
    <w:tmpl w:val="0409001D"/>
    <w:styleLink w:val="5"/>
    <w:lvl w:ilvl="0">
      <w:start w:val="1"/>
      <w:numFmt w:val="decimal"/>
      <w:lvlText w:val="%1"/>
      <w:lvlJc w:val="left"/>
      <w:pPr>
        <w:tabs>
          <w:tab w:pos="425" w:val="num"/>
        </w:tabs>
        <w:ind w:hanging="425" w:left="425"/>
      </w:pPr>
    </w:lvl>
    <w:lvl w:ilvl="1">
      <w:start w:val="1"/>
      <w:numFmt w:val="decimal"/>
      <w:lvlText w:val="%1.%2"/>
      <w:lvlJc w:val="left"/>
      <w:pPr>
        <w:tabs>
          <w:tab w:pos="992" w:val="num"/>
        </w:tabs>
        <w:ind w:hanging="567" w:left="992"/>
      </w:pPr>
    </w:lvl>
    <w:lvl w:ilvl="2">
      <w:start w:val="1"/>
      <w:numFmt w:val="decimal"/>
      <w:lvlText w:val="%1.%2.%3"/>
      <w:lvlJc w:val="left"/>
      <w:pPr>
        <w:tabs>
          <w:tab w:pos="1418" w:val="num"/>
        </w:tabs>
        <w:ind w:hanging="567" w:left="1418"/>
      </w:pPr>
    </w:lvl>
    <w:lvl w:ilvl="3">
      <w:start w:val="1"/>
      <w:numFmt w:val="decimal"/>
      <w:lvlText w:val="%1.%2.%3.%4"/>
      <w:lvlJc w:val="left"/>
      <w:pPr>
        <w:tabs>
          <w:tab w:pos="1984" w:val="num"/>
        </w:tabs>
        <w:ind w:hanging="708" w:left="1984"/>
      </w:pPr>
    </w:lvl>
    <w:lvl w:ilvl="4">
      <w:start w:val="1"/>
      <w:numFmt w:val="decimal"/>
      <w:lvlText w:val="%1.%2.%3.%4.%5"/>
      <w:lvlJc w:val="left"/>
      <w:pPr>
        <w:tabs>
          <w:tab w:pos="2551" w:val="num"/>
        </w:tabs>
        <w:ind w:hanging="850" w:left="2551"/>
      </w:pPr>
    </w:lvl>
    <w:lvl w:ilvl="5">
      <w:start w:val="1"/>
      <w:numFmt w:val="decimal"/>
      <w:lvlText w:val="%1.%2.%3.%4.%5.%6"/>
      <w:lvlJc w:val="left"/>
      <w:pPr>
        <w:tabs>
          <w:tab w:pos="3260" w:val="num"/>
        </w:tabs>
        <w:ind w:hanging="1134" w:left="3260"/>
      </w:pPr>
    </w:lvl>
    <w:lvl w:ilvl="6">
      <w:start w:val="1"/>
      <w:numFmt w:val="decimal"/>
      <w:lvlText w:val="%1.%2.%3.%4.%5.%6.%7"/>
      <w:lvlJc w:val="left"/>
      <w:pPr>
        <w:tabs>
          <w:tab w:pos="3827" w:val="num"/>
        </w:tabs>
        <w:ind w:hanging="1276" w:left="3827"/>
      </w:pPr>
    </w:lvl>
    <w:lvl w:ilvl="7">
      <w:start w:val="1"/>
      <w:numFmt w:val="decimal"/>
      <w:lvlText w:val="%1.%2.%3.%4.%5.%6.%7.%8"/>
      <w:lvlJc w:val="left"/>
      <w:pPr>
        <w:tabs>
          <w:tab w:pos="4394" w:val="num"/>
        </w:tabs>
        <w:ind w:hanging="1418" w:left="4394"/>
      </w:pPr>
    </w:lvl>
    <w:lvl w:ilvl="8">
      <w:start w:val="1"/>
      <w:numFmt w:val="decimal"/>
      <w:lvlText w:val="%1.%2.%3.%4.%5.%6.%7.%8.%9"/>
      <w:lvlJc w:val="left"/>
      <w:pPr>
        <w:tabs>
          <w:tab w:pos="5102" w:val="num"/>
        </w:tabs>
        <w:ind w:hanging="1700" w:left="5102"/>
      </w:pPr>
    </w:lvl>
  </w:abstractNum>
  <w:abstractNum w15:restartNumberingAfterBreak="0" w:abstractNumId="4">
    <w:nsid w:val="57E8240C"/>
    <w:multiLevelType w:val="hybridMultilevel"/>
    <w:tmpl w:val="300A7112"/>
    <w:lvl w:ilvl="0" w:tplc="3782FDB8">
      <w:start w:val="1"/>
      <w:numFmt w:val="decimal"/>
      <w:lvlText w:val="（%1）"/>
      <w:lvlJc w:val="left"/>
      <w:pPr>
        <w:tabs>
          <w:tab w:pos="1200" w:val="num"/>
        </w:tabs>
        <w:ind w:hanging="720" w:left="1200"/>
      </w:pPr>
      <w:rPr>
        <w:rFonts w:hint="eastAsia"/>
        <w:sz w:val="24"/>
      </w:rPr>
    </w:lvl>
    <w:lvl w:ilvl="1" w:tentative="1" w:tplc="04090019">
      <w:start w:val="1"/>
      <w:numFmt w:val="lowerLetter"/>
      <w:lvlText w:val="%2)"/>
      <w:lvlJc w:val="left"/>
      <w:pPr>
        <w:tabs>
          <w:tab w:pos="1320" w:val="num"/>
        </w:tabs>
        <w:ind w:hanging="420" w:left="1320"/>
      </w:pPr>
    </w:lvl>
    <w:lvl w:ilvl="2" w:tentative="1" w:tplc="0409001B">
      <w:start w:val="1"/>
      <w:numFmt w:val="lowerRoman"/>
      <w:lvlText w:val="%3."/>
      <w:lvlJc w:val="right"/>
      <w:pPr>
        <w:tabs>
          <w:tab w:pos="1740" w:val="num"/>
        </w:tabs>
        <w:ind w:hanging="420" w:left="1740"/>
      </w:pPr>
    </w:lvl>
    <w:lvl w:ilvl="3" w:tentative="1" w:tplc="0409000F">
      <w:start w:val="1"/>
      <w:numFmt w:val="decimal"/>
      <w:lvlText w:val="%4."/>
      <w:lvlJc w:val="left"/>
      <w:pPr>
        <w:tabs>
          <w:tab w:pos="2160" w:val="num"/>
        </w:tabs>
        <w:ind w:hanging="420" w:left="2160"/>
      </w:pPr>
    </w:lvl>
    <w:lvl w:ilvl="4" w:tentative="1" w:tplc="04090019">
      <w:start w:val="1"/>
      <w:numFmt w:val="lowerLetter"/>
      <w:lvlText w:val="%5)"/>
      <w:lvlJc w:val="left"/>
      <w:pPr>
        <w:tabs>
          <w:tab w:pos="2580" w:val="num"/>
        </w:tabs>
        <w:ind w:hanging="420" w:left="2580"/>
      </w:pPr>
    </w:lvl>
    <w:lvl w:ilvl="5" w:tentative="1" w:tplc="0409001B">
      <w:start w:val="1"/>
      <w:numFmt w:val="lowerRoman"/>
      <w:lvlText w:val="%6."/>
      <w:lvlJc w:val="right"/>
      <w:pPr>
        <w:tabs>
          <w:tab w:pos="3000" w:val="num"/>
        </w:tabs>
        <w:ind w:hanging="420" w:left="3000"/>
      </w:pPr>
    </w:lvl>
    <w:lvl w:ilvl="6" w:tentative="1" w:tplc="0409000F">
      <w:start w:val="1"/>
      <w:numFmt w:val="decimal"/>
      <w:lvlText w:val="%7."/>
      <w:lvlJc w:val="left"/>
      <w:pPr>
        <w:tabs>
          <w:tab w:pos="3420" w:val="num"/>
        </w:tabs>
        <w:ind w:hanging="420" w:left="3420"/>
      </w:pPr>
    </w:lvl>
    <w:lvl w:ilvl="7" w:tentative="1" w:tplc="04090019">
      <w:start w:val="1"/>
      <w:numFmt w:val="lowerLetter"/>
      <w:lvlText w:val="%8)"/>
      <w:lvlJc w:val="left"/>
      <w:pPr>
        <w:tabs>
          <w:tab w:pos="3840" w:val="num"/>
        </w:tabs>
        <w:ind w:hanging="420" w:left="3840"/>
      </w:pPr>
    </w:lvl>
    <w:lvl w:ilvl="8" w:tentative="1" w:tplc="0409001B">
      <w:start w:val="1"/>
      <w:numFmt w:val="lowerRoman"/>
      <w:lvlText w:val="%9."/>
      <w:lvlJc w:val="right"/>
      <w:pPr>
        <w:tabs>
          <w:tab w:pos="4260" w:val="num"/>
        </w:tabs>
        <w:ind w:hanging="420" w:left="4260"/>
      </w:pPr>
    </w:lvl>
  </w:abstractNum>
  <w:abstractNum w15:restartNumberingAfterBreak="0" w:abstractNumId="5">
    <w:nsid w:val="64C22724"/>
    <w:multiLevelType w:val="multilevel"/>
    <w:tmpl w:val="0409001D"/>
    <w:numStyleLink w:val="5"/>
  </w:abstractNum>
  <w:abstractNum w15:restartNumberingAfterBreak="0" w:abstractNumId="6">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entative="1" w:tplc="0409000F">
      <w:start w:val="1"/>
      <w:numFmt w:val="decimal"/>
      <w:lvlText w:val="%4."/>
      <w:lvlJc w:val="left"/>
      <w:pPr>
        <w:tabs>
          <w:tab w:pos="1680" w:val="num"/>
        </w:tabs>
        <w:ind w:hanging="420" w:left="1680"/>
      </w:pPr>
    </w:lvl>
    <w:lvl w:ilvl="4" w:tentative="1" w:tplc="04090019">
      <w:start w:val="1"/>
      <w:numFmt w:val="lowerLetter"/>
      <w:lvlText w:val="%5)"/>
      <w:lvlJc w:val="left"/>
      <w:pPr>
        <w:tabs>
          <w:tab w:pos="2100" w:val="num"/>
        </w:tabs>
        <w:ind w:hanging="420" w:left="2100"/>
      </w:pPr>
    </w:lvl>
    <w:lvl w:ilvl="5" w:tentative="1" w:tplc="0409001B">
      <w:start w:val="1"/>
      <w:numFmt w:val="lowerRoman"/>
      <w:lvlText w:val="%6."/>
      <w:lvlJc w:val="right"/>
      <w:pPr>
        <w:tabs>
          <w:tab w:pos="2520" w:val="num"/>
        </w:tabs>
        <w:ind w:hanging="420" w:left="2520"/>
      </w:pPr>
    </w:lvl>
    <w:lvl w:ilvl="6" w:tentative="1" w:tplc="0409000F">
      <w:start w:val="1"/>
      <w:numFmt w:val="decimal"/>
      <w:lvlText w:val="%7."/>
      <w:lvlJc w:val="left"/>
      <w:pPr>
        <w:tabs>
          <w:tab w:pos="2940" w:val="num"/>
        </w:tabs>
        <w:ind w:hanging="420" w:left="2940"/>
      </w:pPr>
    </w:lvl>
    <w:lvl w:ilvl="7" w:tentative="1" w:tplc="04090019">
      <w:start w:val="1"/>
      <w:numFmt w:val="lowerLetter"/>
      <w:lvlText w:val="%8)"/>
      <w:lvlJc w:val="left"/>
      <w:pPr>
        <w:tabs>
          <w:tab w:pos="3360" w:val="num"/>
        </w:tabs>
        <w:ind w:hanging="420" w:left="3360"/>
      </w:pPr>
    </w:lvl>
    <w:lvl w:ilvl="8" w:tentative="1" w:tplc="0409001B">
      <w:start w:val="1"/>
      <w:numFmt w:val="lowerRoman"/>
      <w:lvlText w:val="%9."/>
      <w:lvlJc w:val="right"/>
      <w:pPr>
        <w:tabs>
          <w:tab w:pos="3780" w:val="num"/>
        </w:tabs>
        <w:ind w:hanging="420" w:left="378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pos="992" w:val="num"/>
          </w:tabs>
          <w:ind w:hanging="567" w:left="992"/>
        </w:pPr>
      </w:lvl>
    </w:lvlOverride>
    <w:lvlOverride w:ilvl="2">
      <w:lvl w:ilvl="2">
        <w:start w:val="1"/>
        <w:numFmt w:val="decimal"/>
        <w:lvlText w:val="%1.%2.%3"/>
        <w:lvlJc w:val="left"/>
        <w:pPr>
          <w:tabs>
            <w:tab w:pos="1418" w:val="num"/>
          </w:tabs>
          <w:ind w:hanging="567" w:left="1418"/>
        </w:pPr>
      </w:lvl>
    </w:lvlOverride>
  </w:num>
  <w:num w:numId="8">
    <w:abstractNumId w:val="3"/>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mc:Ignorable="w14 w15 w16se w16cid">
  <w:zoom w:percent="100"/>
  <w:printPostScriptOverText/>
  <w:bordersDoNotSurroundHeader/>
  <w:bordersDoNotSurroundFooter/>
  <w:attachedTemplate r:id="rId1"/>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5115"/>
    <w:rsid w:val="00086398"/>
    <w:rsid w:val="000871DB"/>
    <w:rsid w:val="000922C5"/>
    <w:rsid w:val="0009314F"/>
    <w:rsid w:val="00093A23"/>
    <w:rsid w:val="0009582E"/>
    <w:rsid w:val="000A08FC"/>
    <w:rsid w:val="000A15F1"/>
    <w:rsid w:val="000A1617"/>
    <w:rsid w:val="000A2988"/>
    <w:rsid w:val="000A2E22"/>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5632"/>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3F6E"/>
    <w:rsid w:val="001257C7"/>
    <w:rsid w:val="00125E66"/>
    <w:rsid w:val="00126AC0"/>
    <w:rsid w:val="00126C2B"/>
    <w:rsid w:val="00127A01"/>
    <w:rsid w:val="00130395"/>
    <w:rsid w:val="00130D77"/>
    <w:rsid w:val="001315E1"/>
    <w:rsid w:val="00131EF6"/>
    <w:rsid w:val="0013251D"/>
    <w:rsid w:val="0013404A"/>
    <w:rsid w:val="00134734"/>
    <w:rsid w:val="00134CBE"/>
    <w:rsid w:val="00140C30"/>
    <w:rsid w:val="00142C74"/>
    <w:rsid w:val="00143E9C"/>
    <w:rsid w:val="00145E5B"/>
    <w:rsid w:val="001461A4"/>
    <w:rsid w:val="00147319"/>
    <w:rsid w:val="00147551"/>
    <w:rsid w:val="0015012F"/>
    <w:rsid w:val="00150C2E"/>
    <w:rsid w:val="0015170D"/>
    <w:rsid w:val="001517AE"/>
    <w:rsid w:val="00154FA5"/>
    <w:rsid w:val="0015531A"/>
    <w:rsid w:val="00156508"/>
    <w:rsid w:val="00156F9D"/>
    <w:rsid w:val="00157535"/>
    <w:rsid w:val="001602E3"/>
    <w:rsid w:val="00160539"/>
    <w:rsid w:val="00161548"/>
    <w:rsid w:val="00163D88"/>
    <w:rsid w:val="0017176A"/>
    <w:rsid w:val="00172B54"/>
    <w:rsid w:val="00175E3A"/>
    <w:rsid w:val="00176874"/>
    <w:rsid w:val="0017725A"/>
    <w:rsid w:val="0018052A"/>
    <w:rsid w:val="00180952"/>
    <w:rsid w:val="0018191A"/>
    <w:rsid w:val="00183C5B"/>
    <w:rsid w:val="001843E2"/>
    <w:rsid w:val="00185B68"/>
    <w:rsid w:val="00186199"/>
    <w:rsid w:val="00187122"/>
    <w:rsid w:val="001874E3"/>
    <w:rsid w:val="001936D7"/>
    <w:rsid w:val="00194155"/>
    <w:rsid w:val="001949CA"/>
    <w:rsid w:val="00195AFC"/>
    <w:rsid w:val="001A0417"/>
    <w:rsid w:val="001A0B71"/>
    <w:rsid w:val="001A1389"/>
    <w:rsid w:val="001A3016"/>
    <w:rsid w:val="001A3914"/>
    <w:rsid w:val="001A5D39"/>
    <w:rsid w:val="001A5E45"/>
    <w:rsid w:val="001A5FA6"/>
    <w:rsid w:val="001B01D2"/>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029"/>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5552"/>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0A5C"/>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77C6E"/>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324E6"/>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1E42"/>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2D89"/>
    <w:rsid w:val="005D4CBA"/>
    <w:rsid w:val="005E01A3"/>
    <w:rsid w:val="005E0354"/>
    <w:rsid w:val="005E6C62"/>
    <w:rsid w:val="005E6F13"/>
    <w:rsid w:val="005E726C"/>
    <w:rsid w:val="005F293E"/>
    <w:rsid w:val="005F43B9"/>
    <w:rsid w:val="005F458B"/>
    <w:rsid w:val="005F4A6A"/>
    <w:rsid w:val="005F4E28"/>
    <w:rsid w:val="005F56BA"/>
    <w:rsid w:val="005F69E7"/>
    <w:rsid w:val="0060008E"/>
    <w:rsid w:val="00601F15"/>
    <w:rsid w:val="00602321"/>
    <w:rsid w:val="006033E3"/>
    <w:rsid w:val="00606B29"/>
    <w:rsid w:val="0060758A"/>
    <w:rsid w:val="00607D0E"/>
    <w:rsid w:val="00607D16"/>
    <w:rsid w:val="006101F5"/>
    <w:rsid w:val="00610880"/>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120B"/>
    <w:rsid w:val="006A4828"/>
    <w:rsid w:val="006A5FE0"/>
    <w:rsid w:val="006A6D35"/>
    <w:rsid w:val="006A7C09"/>
    <w:rsid w:val="006B046C"/>
    <w:rsid w:val="006B252F"/>
    <w:rsid w:val="006B25AD"/>
    <w:rsid w:val="006B2CE8"/>
    <w:rsid w:val="006B32A4"/>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059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20BF"/>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4965"/>
    <w:rsid w:val="008F61C4"/>
    <w:rsid w:val="008F6228"/>
    <w:rsid w:val="008F7763"/>
    <w:rsid w:val="009007CB"/>
    <w:rsid w:val="009009DC"/>
    <w:rsid w:val="009010F0"/>
    <w:rsid w:val="00901162"/>
    <w:rsid w:val="00901A22"/>
    <w:rsid w:val="00901D46"/>
    <w:rsid w:val="009028E2"/>
    <w:rsid w:val="00903692"/>
    <w:rsid w:val="00904E07"/>
    <w:rsid w:val="009050AB"/>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5C1"/>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44D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0A2B"/>
    <w:rsid w:val="00BC1A9B"/>
    <w:rsid w:val="00BC2A22"/>
    <w:rsid w:val="00BC4986"/>
    <w:rsid w:val="00BC5D75"/>
    <w:rsid w:val="00BC5E2E"/>
    <w:rsid w:val="00BC6379"/>
    <w:rsid w:val="00BC7608"/>
    <w:rsid w:val="00BC7EEF"/>
    <w:rsid w:val="00BD0B9C"/>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5839"/>
    <w:rsid w:val="00C05F8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577"/>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3F08"/>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247"/>
    <w:rsid w:val="00D20364"/>
    <w:rsid w:val="00D2130C"/>
    <w:rsid w:val="00D21CE9"/>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87429"/>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11B9"/>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87EDC"/>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0794"/>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martTagType w:name="chsdate" w:namespaceuri="urn:schemas-microsoft-com:office:smarttags"/>
  <w:shapeDefaults>
    <o:shapedefaults spidmax="2049" v:ext="edit"/>
    <o:shapelayout v:ext="edit">
      <o:idmap data="1" v:ext="edit"/>
    </o:shapelayout>
  </w:shapeDefaults>
  <w:decimalSymbol w:val="."/>
  <w:listSeparator w:val=","/>
  <w15:docId w15:val="{1E5385F9-CBC7-4839-BB43-893C032A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cs="Times New Roman" w:eastAsia="宋体" w:hAnsi="Times New Roman"/>
        <w:lang w:bidi="ar-SA" w:eastAsia="zh-CN" w:val="en-US"/>
      </w:rPr>
    </w:rPrDefault>
    <w:pPrDefault/>
  </w:docDefaults>
  <w:latentStyles w:count="377" w:defLockedState="0" w:defQFormat="0" w:defSemiHidden="0" w:defUIPriority="0" w:defUnhideWhenUsed="0">
    <w:lsdException w:name="Normal" w:qFormat="1"/>
    <w:lsdException w:name="heading 1" w:qFormat="1" w:uiPriority="99"/>
    <w:lsdException w:name="heading 2" w:qFormat="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qFormat="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default="1" w:styleId="a" w:type="paragraph">
    <w:name w:val="Normal"/>
    <w:qFormat/>
    <w:rsid w:val="006A4828"/>
    <w:pPr>
      <w:widowControl w:val="0"/>
      <w:jc w:val="both"/>
    </w:pPr>
    <w:rPr>
      <w:kern w:val="2"/>
      <w:sz w:val="21"/>
      <w:szCs w:val="24"/>
    </w:rPr>
  </w:style>
  <w:style w:styleId="1" w:type="paragraph">
    <w:name w:val="heading 1"/>
    <w:basedOn w:val="a"/>
    <w:next w:val="a"/>
    <w:link w:val="10"/>
    <w:uiPriority w:val="99"/>
    <w:qFormat/>
    <w:rsid w:val="00180952"/>
    <w:pPr>
      <w:keepNext/>
      <w:keepLines/>
      <w:spacing w:after="330" w:before="340" w:line="578" w:lineRule="auto"/>
      <w:outlineLvl w:val="0"/>
    </w:pPr>
    <w:rPr>
      <w:b/>
      <w:bCs/>
      <w:kern w:val="44"/>
      <w:sz w:val="44"/>
      <w:szCs w:val="44"/>
    </w:rPr>
  </w:style>
  <w:style w:styleId="2" w:type="paragraph">
    <w:name w:val="heading 2"/>
    <w:basedOn w:val="a"/>
    <w:next w:val="a0"/>
    <w:qFormat/>
    <w:rsid w:val="006A4828"/>
    <w:pPr>
      <w:keepNext/>
      <w:keepLines/>
      <w:spacing w:after="260" w:before="260" w:line="360" w:lineRule="auto"/>
      <w:outlineLvl w:val="1"/>
    </w:pPr>
    <w:rPr>
      <w:rFonts w:ascii="Arial" w:cs="Arial" w:hAnsi="Arial"/>
      <w:b/>
      <w:bCs/>
      <w:sz w:val="24"/>
      <w:szCs w:val="28"/>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rsid w:val="006A4828"/>
    <w:pPr>
      <w:ind w:firstLine="420" w:firstLineChars="200"/>
    </w:pPr>
  </w:style>
  <w:style w:styleId="a4" w:type="paragraph">
    <w:name w:val="Body Text Indent"/>
    <w:basedOn w:val="a"/>
    <w:rsid w:val="006A4828"/>
    <w:pPr>
      <w:widowControl/>
      <w:spacing w:after="100" w:afterAutospacing="1" w:before="100" w:beforeAutospacing="1"/>
      <w:jc w:val="left"/>
    </w:pPr>
    <w:rPr>
      <w:rFonts w:ascii="Arial Unicode MS" w:cs="Arial Unicode MS" w:eastAsia="Arial Unicode MS" w:hAnsi="Arial Unicode MS"/>
      <w:kern w:val="0"/>
      <w:sz w:val="24"/>
    </w:rPr>
  </w:style>
  <w:style w:styleId="a5" w:type="paragraph">
    <w:name w:val="Plain Text"/>
    <w:basedOn w:val="a"/>
    <w:link w:val="a6"/>
    <w:uiPriority w:val="99"/>
    <w:rsid w:val="006A4828"/>
    <w:rPr>
      <w:rFonts w:ascii="宋体" w:hAnsi="Courier New"/>
      <w:szCs w:val="21"/>
    </w:rPr>
  </w:style>
  <w:style w:styleId="20" w:type="paragraph">
    <w:name w:val="Body Text Indent 2"/>
    <w:basedOn w:val="a"/>
    <w:rsid w:val="006A4828"/>
    <w:pPr>
      <w:spacing w:line="560" w:lineRule="exact"/>
      <w:ind w:firstLine="480" w:firstLineChars="200"/>
    </w:pPr>
    <w:rPr>
      <w:rFonts w:ascii="宋体" w:hAnsi="宋体"/>
      <w:color w:val="FF0000"/>
      <w:sz w:val="24"/>
    </w:rPr>
  </w:style>
  <w:style w:styleId="a7" w:type="paragraph">
    <w:name w:val="footer"/>
    <w:basedOn w:val="a"/>
    <w:rsid w:val="006A4828"/>
    <w:pPr>
      <w:tabs>
        <w:tab w:pos="4153" w:val="center"/>
        <w:tab w:pos="8306" w:val="right"/>
      </w:tabs>
      <w:snapToGrid w:val="0"/>
      <w:jc w:val="left"/>
    </w:pPr>
    <w:rPr>
      <w:sz w:val="18"/>
      <w:szCs w:val="18"/>
    </w:rPr>
  </w:style>
  <w:style w:styleId="a8" w:type="character">
    <w:name w:val="page number"/>
    <w:basedOn w:val="a1"/>
    <w:rsid w:val="006A4828"/>
  </w:style>
  <w:style w:styleId="a9" w:type="character">
    <w:name w:val="Hyperlink"/>
    <w:basedOn w:val="a1"/>
    <w:rsid w:val="006A4828"/>
    <w:rPr>
      <w:color w:val="0000FF"/>
      <w:u w:val="single"/>
    </w:rPr>
  </w:style>
  <w:style w:styleId="3" w:type="paragraph">
    <w:name w:val="Body Text Indent 3"/>
    <w:basedOn w:val="a"/>
    <w:rsid w:val="006A4828"/>
    <w:pPr>
      <w:spacing w:line="560" w:lineRule="exact"/>
      <w:ind w:firstLine="420" w:firstLineChars="200"/>
    </w:pPr>
    <w:rPr>
      <w:rFonts w:ascii="Arial" w:cs="Arial" w:hAnsi="Arial"/>
      <w:color w:val="FF0000"/>
    </w:rPr>
  </w:style>
  <w:style w:styleId="aa" w:type="paragraph">
    <w:name w:val="header"/>
    <w:basedOn w:val="a"/>
    <w:link w:val="ab"/>
    <w:uiPriority w:val="99"/>
    <w:rsid w:val="006A4828"/>
    <w:pPr>
      <w:pBdr>
        <w:bottom w:color="auto" w:space="1" w:sz="6" w:val="single"/>
      </w:pBdr>
      <w:tabs>
        <w:tab w:pos="4153" w:val="center"/>
        <w:tab w:pos="8306" w:val="right"/>
      </w:tabs>
      <w:snapToGrid w:val="0"/>
      <w:jc w:val="center"/>
    </w:pPr>
    <w:rPr>
      <w:sz w:val="18"/>
      <w:szCs w:val="18"/>
    </w:rPr>
  </w:style>
  <w:style w:customStyle="1" w:styleId="11" w:type="character">
    <w:name w:val="已访问的超链接1"/>
    <w:basedOn w:val="a1"/>
    <w:rsid w:val="006A4828"/>
    <w:rPr>
      <w:color w:val="800080"/>
      <w:u w:val="single"/>
    </w:rPr>
  </w:style>
  <w:style w:styleId="ac" w:type="paragraph">
    <w:name w:val="List"/>
    <w:basedOn w:val="ad"/>
    <w:rsid w:val="006A4828"/>
    <w:pPr>
      <w:spacing w:after="220" w:line="220" w:lineRule="atLeast"/>
      <w:ind w:hanging="360" w:left="1440"/>
    </w:pPr>
    <w:rPr>
      <w:szCs w:val="20"/>
    </w:rPr>
  </w:style>
  <w:style w:styleId="ad" w:type="paragraph">
    <w:name w:val="Body Text"/>
    <w:basedOn w:val="a"/>
    <w:rsid w:val="006A4828"/>
    <w:pPr>
      <w:spacing w:after="120"/>
    </w:pPr>
  </w:style>
  <w:style w:styleId="ae" w:type="paragraph">
    <w:name w:val="Date"/>
    <w:basedOn w:val="a"/>
    <w:next w:val="a"/>
    <w:link w:val="af"/>
    <w:rsid w:val="006A4828"/>
    <w:rPr>
      <w:sz w:val="24"/>
      <w:szCs w:val="20"/>
    </w:rPr>
  </w:style>
  <w:style w:customStyle="1" w:styleId="c1" w:type="character">
    <w:name w:val="c1"/>
    <w:basedOn w:val="a1"/>
    <w:rsid w:val="006A4828"/>
    <w:rPr>
      <w:color w:val="000000"/>
      <w:sz w:val="18"/>
      <w:szCs w:val="18"/>
    </w:rPr>
  </w:style>
  <w:style w:styleId="12" w:type="paragraph">
    <w:name w:val="index 1"/>
    <w:basedOn w:val="a"/>
    <w:next w:val="a"/>
    <w:autoRedefine/>
    <w:semiHidden/>
    <w:rsid w:val="006A4828"/>
    <w:pPr>
      <w:jc w:val="right"/>
    </w:pPr>
    <w:rPr>
      <w:color w:val="008000"/>
    </w:rPr>
  </w:style>
  <w:style w:customStyle="1" w:styleId="font5" w:type="paragraph">
    <w:name w:val="font5"/>
    <w:basedOn w:val="a"/>
    <w:rsid w:val="006A4828"/>
    <w:pPr>
      <w:widowControl/>
      <w:spacing w:after="100" w:afterAutospacing="1" w:before="100" w:beforeAutospacing="1"/>
      <w:jc w:val="left"/>
    </w:pPr>
    <w:rPr>
      <w:rFonts w:ascii="宋体" w:cs="Arial Unicode MS" w:hAnsi="宋体" w:hint="eastAsia"/>
      <w:kern w:val="0"/>
      <w:sz w:val="18"/>
      <w:szCs w:val="18"/>
    </w:rPr>
  </w:style>
  <w:style w:customStyle="1" w:styleId="xl24" w:type="paragraph">
    <w:name w:val="xl24"/>
    <w:basedOn w:val="a"/>
    <w:rsid w:val="006A4828"/>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rsid w:val="006A4828"/>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rPr>
  </w:style>
  <w:style w:customStyle="1" w:styleId="xl26" w:type="paragraph">
    <w:name w:val="xl26"/>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7" w:type="paragraph">
    <w:name w:val="xl27"/>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rsid w:val="006A4828"/>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9" w:type="paragraph">
    <w:name w:val="xl29"/>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0" w:type="paragraph">
    <w:name w:val="xl30"/>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1" w:type="paragraph">
    <w:name w:val="xl31"/>
    <w:basedOn w:val="a"/>
    <w:rsid w:val="006A4828"/>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rsid w:val="006A4828"/>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rsid w:val="006A4828"/>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rsid w:val="006A4828"/>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f0" w:type="paragraph">
    <w:name w:val="Balloon Text"/>
    <w:basedOn w:val="a"/>
    <w:semiHidden/>
    <w:rsid w:val="006A4828"/>
    <w:rPr>
      <w:sz w:val="18"/>
      <w:szCs w:val="18"/>
    </w:rPr>
  </w:style>
  <w:style w:styleId="af1" w:type="character">
    <w:name w:val="annotation reference"/>
    <w:basedOn w:val="a1"/>
    <w:uiPriority w:val="99"/>
    <w:semiHidden/>
    <w:rsid w:val="006A4828"/>
    <w:rPr>
      <w:sz w:val="21"/>
      <w:szCs w:val="21"/>
    </w:rPr>
  </w:style>
  <w:style w:styleId="af2" w:type="paragraph">
    <w:name w:val="annotation text"/>
    <w:basedOn w:val="a"/>
    <w:link w:val="af3"/>
    <w:uiPriority w:val="99"/>
    <w:semiHidden/>
    <w:rsid w:val="006A4828"/>
    <w:pPr>
      <w:jc w:val="left"/>
    </w:pPr>
  </w:style>
  <w:style w:styleId="af4" w:type="paragraph">
    <w:name w:val="annotation subject"/>
    <w:basedOn w:val="af2"/>
    <w:next w:val="af2"/>
    <w:semiHidden/>
    <w:rsid w:val="006A4828"/>
    <w:rPr>
      <w:b/>
      <w:bCs/>
    </w:rPr>
  </w:style>
  <w:style w:customStyle="1" w:styleId="Char" w:type="paragraph">
    <w:name w:val="Char"/>
    <w:basedOn w:val="a"/>
    <w:rsid w:val="006A4828"/>
  </w:style>
  <w:style w:styleId="af5" w:type="paragraph">
    <w:name w:val="Document Map"/>
    <w:basedOn w:val="a"/>
    <w:semiHidden/>
    <w:rsid w:val="000A549A"/>
    <w:pPr>
      <w:shd w:color="auto" w:fill="000080" w:val="clear"/>
    </w:pPr>
  </w:style>
  <w:style w:styleId="af6" w:type="table">
    <w:name w:val="Table Grid"/>
    <w:basedOn w:val="a2"/>
    <w:qFormat/>
    <w:rsid w:val="009A31AF"/>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af7" w:type="paragraph">
    <w:name w:val="footnote text"/>
    <w:basedOn w:val="a"/>
    <w:link w:val="af8"/>
    <w:rsid w:val="000B251E"/>
    <w:pPr>
      <w:snapToGrid w:val="0"/>
      <w:jc w:val="left"/>
    </w:pPr>
    <w:rPr>
      <w:sz w:val="18"/>
      <w:szCs w:val="18"/>
    </w:rPr>
  </w:style>
  <w:style w:styleId="af9" w:type="character">
    <w:name w:val="footnote reference"/>
    <w:basedOn w:val="a1"/>
    <w:rsid w:val="000B251E"/>
    <w:rPr>
      <w:vertAlign w:val="superscript"/>
    </w:rPr>
  </w:style>
  <w:style w:styleId="afa" w:type="paragraph">
    <w:name w:val="Normal (Web)"/>
    <w:basedOn w:val="a"/>
    <w:rsid w:val="00B25807"/>
    <w:pPr>
      <w:widowControl/>
      <w:spacing w:after="100" w:afterAutospacing="1" w:before="100" w:beforeAutospacing="1"/>
      <w:jc w:val="left"/>
    </w:pPr>
    <w:rPr>
      <w:rFonts w:ascii="宋体" w:hAnsi="宋体"/>
      <w:kern w:val="0"/>
      <w:sz w:val="24"/>
    </w:rPr>
  </w:style>
  <w:style w:customStyle="1" w:styleId="Char0" w:type="paragraph">
    <w:name w:val="Char"/>
    <w:basedOn w:val="a"/>
    <w:rsid w:val="00D97213"/>
  </w:style>
  <w:style w:customStyle="1" w:styleId="5" w:type="numbering">
    <w:name w:val="样式5"/>
    <w:rsid w:val="00952A72"/>
    <w:pPr>
      <w:numPr>
        <w:numId w:val="8"/>
      </w:numPr>
    </w:pPr>
  </w:style>
  <w:style w:customStyle="1" w:styleId="t1" w:type="character">
    <w:name w:val="t1"/>
    <w:basedOn w:val="a1"/>
    <w:rsid w:val="002D2A00"/>
    <w:rPr>
      <w:color w:val="990000"/>
    </w:rPr>
  </w:style>
  <w:style w:customStyle="1" w:styleId="a6" w:type="character">
    <w:name w:val="纯文本 字符"/>
    <w:basedOn w:val="a1"/>
    <w:link w:val="a5"/>
    <w:uiPriority w:val="99"/>
    <w:rsid w:val="009A045B"/>
    <w:rPr>
      <w:rFonts w:ascii="宋体" w:hAnsi="Courier New"/>
      <w:kern w:val="2"/>
      <w:sz w:val="21"/>
      <w:szCs w:val="21"/>
    </w:rPr>
  </w:style>
  <w:style w:customStyle="1" w:styleId="af8" w:type="character">
    <w:name w:val="脚注文本 字符"/>
    <w:basedOn w:val="a1"/>
    <w:link w:val="af7"/>
    <w:rsid w:val="00CB481C"/>
    <w:rPr>
      <w:kern w:val="2"/>
      <w:sz w:val="18"/>
      <w:szCs w:val="18"/>
    </w:rPr>
  </w:style>
  <w:style w:customStyle="1" w:styleId="Default" w:type="paragraph">
    <w:name w:val="Default"/>
    <w:rsid w:val="00CB481C"/>
    <w:pPr>
      <w:widowControl w:val="0"/>
      <w:autoSpaceDE w:val="0"/>
      <w:autoSpaceDN w:val="0"/>
      <w:adjustRightInd w:val="0"/>
    </w:pPr>
    <w:rPr>
      <w:rFonts w:ascii="FangSong" w:cs="FangSong" w:hAnsi="FangSong"/>
      <w:color w:val="000000"/>
      <w:sz w:val="24"/>
      <w:szCs w:val="24"/>
    </w:rPr>
  </w:style>
  <w:style w:customStyle="1" w:styleId="ab" w:type="character">
    <w:name w:val="页眉 字符"/>
    <w:basedOn w:val="a1"/>
    <w:link w:val="aa"/>
    <w:uiPriority w:val="99"/>
    <w:rsid w:val="001207F2"/>
    <w:rPr>
      <w:kern w:val="2"/>
      <w:sz w:val="18"/>
      <w:szCs w:val="18"/>
    </w:rPr>
  </w:style>
  <w:style w:customStyle="1" w:styleId="10" w:type="character">
    <w:name w:val="标题 1 字符"/>
    <w:basedOn w:val="a1"/>
    <w:link w:val="1"/>
    <w:uiPriority w:val="99"/>
    <w:rsid w:val="00180952"/>
    <w:rPr>
      <w:b/>
      <w:bCs/>
      <w:kern w:val="44"/>
      <w:sz w:val="44"/>
      <w:szCs w:val="44"/>
    </w:rPr>
  </w:style>
  <w:style w:customStyle="1" w:styleId="af" w:type="character">
    <w:name w:val="日期 字符"/>
    <w:basedOn w:val="a1"/>
    <w:link w:val="ae"/>
    <w:rsid w:val="00D66685"/>
    <w:rPr>
      <w:kern w:val="2"/>
      <w:sz w:val="24"/>
    </w:rPr>
  </w:style>
  <w:style w:styleId="afb" w:type="character">
    <w:name w:val="Strong"/>
    <w:basedOn w:val="a1"/>
    <w:uiPriority w:val="22"/>
    <w:qFormat/>
    <w:rsid w:val="00C02900"/>
    <w:rPr>
      <w:b/>
      <w:bCs/>
    </w:rPr>
  </w:style>
  <w:style w:customStyle="1" w:styleId="af3" w:type="character">
    <w:name w:val="批注文字 字符"/>
    <w:basedOn w:val="a1"/>
    <w:link w:val="af2"/>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media/image2.jpeg" Type="http://schemas.openxmlformats.org/officeDocument/2006/relationships/image"/>
<Relationship Id="rId16" Target="footer4.xml" Type="http://schemas.openxmlformats.org/officeDocument/2006/relationships/footer"/>
<Relationship Id="rId17" Target="fontTable.xml" Type="http://schemas.openxmlformats.org/officeDocument/2006/relationships/fontTable"/>
<Relationship Id="rId18"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_rels/settings.xml.rels><?xml version="1.0" encoding="UTF-8" standalone="yes"?>
<Relationships xmlns="http://schemas.openxmlformats.org/package/2006/relationships">
<Relationship Id="rId1" Target="file:///C:/Users/Administrator/Desktop/abc&#23395;&#25253;.dot" TargetMode="External" Type="http://schemas.openxmlformats.org/officeDocument/2006/relationships/attachedTemplat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3D1C4-DF97-4403-82EB-0D35503E4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242</TotalTime>
  <Pages>27</Pages>
  <Words>4287</Words>
  <Characters>24442</Characters>
  <Application>Microsoft Office Word</Application>
  <DocSecurity>0</DocSecurity>
  <Lines>203</Lines>
  <Paragraphs>57</Paragraphs>
  <ScaleCrop>false</ScaleCrop>
  <Company>TRT. Ltd. Co.</Company>
  <LinksUpToDate>false</LinksUpToDate>
  <CharactersWithSpaces>28672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2014-01-17T06:19:00Z</dcterms:created>
  <dc:creator>bonnieliu</dc:creator>
  <cp:lastModifiedBy>857040381@qq.com</cp:lastModifiedBy>
  <cp:lastPrinted>2007-07-19T00:46:00Z</cp:lastPrinted>
  <dcterms:modified xsi:type="dcterms:W3CDTF">2019-09-18T07:08:00Z</dcterms:modified>
  <cp:revision>402</cp:revision>
</cp:coreProperties>
</file>